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240C3BF5"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970536">
        <w:rPr>
          <w:rFonts w:ascii="Arial" w:hAnsi="Arial" w:cs="Arial"/>
          <w:b/>
          <w:sz w:val="24"/>
          <w:szCs w:val="24"/>
        </w:rPr>
        <w:t>3</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21305F" w:rsidRPr="0021305F">
        <w:rPr>
          <w:rFonts w:ascii="Arial" w:hAnsi="Arial" w:cs="Arial"/>
          <w:b/>
          <w:sz w:val="24"/>
          <w:szCs w:val="24"/>
        </w:rPr>
        <w:t>R4-2207806</w:t>
      </w:r>
    </w:p>
    <w:p w14:paraId="2C67BE8C" w14:textId="6BA8EF9D"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70536">
        <w:rPr>
          <w:rFonts w:ascii="Arial" w:eastAsia="SimSun" w:hAnsi="Arial"/>
          <w:b/>
          <w:sz w:val="24"/>
          <w:szCs w:val="24"/>
          <w:lang w:eastAsia="zh-CN"/>
        </w:rPr>
        <w:t xml:space="preserve">May 09 </w:t>
      </w:r>
      <w:proofErr w:type="gramStart"/>
      <w:r w:rsidR="00970536">
        <w:rPr>
          <w:rFonts w:ascii="Arial" w:eastAsia="SimSun" w:hAnsi="Arial"/>
          <w:b/>
          <w:sz w:val="24"/>
          <w:szCs w:val="24"/>
          <w:lang w:eastAsia="zh-CN"/>
        </w:rPr>
        <w:t xml:space="preserve">- </w:t>
      </w:r>
      <w:r w:rsidR="00932C93">
        <w:rPr>
          <w:rFonts w:ascii="Arial" w:eastAsia="SimSun" w:hAnsi="Arial"/>
          <w:b/>
          <w:sz w:val="24"/>
          <w:szCs w:val="24"/>
          <w:lang w:eastAsia="zh-CN"/>
        </w:rPr>
        <w:t xml:space="preserve"> Ma</w:t>
      </w:r>
      <w:r w:rsidR="00970536">
        <w:rPr>
          <w:rFonts w:ascii="Arial" w:eastAsia="SimSun" w:hAnsi="Arial"/>
          <w:b/>
          <w:sz w:val="24"/>
          <w:szCs w:val="24"/>
          <w:lang w:eastAsia="zh-CN"/>
        </w:rPr>
        <w:t>y</w:t>
      </w:r>
      <w:proofErr w:type="gramEnd"/>
      <w:r w:rsidR="00932C93">
        <w:rPr>
          <w:rFonts w:ascii="Arial" w:eastAsia="SimSun" w:hAnsi="Arial"/>
          <w:b/>
          <w:sz w:val="24"/>
          <w:szCs w:val="24"/>
          <w:lang w:eastAsia="zh-CN"/>
        </w:rPr>
        <w:t xml:space="preserve"> </w:t>
      </w:r>
      <w:r w:rsidR="00970536">
        <w:rPr>
          <w:rFonts w:ascii="Arial" w:eastAsia="SimSun" w:hAnsi="Arial"/>
          <w:b/>
          <w:sz w:val="24"/>
          <w:szCs w:val="24"/>
          <w:lang w:eastAsia="zh-CN"/>
        </w:rPr>
        <w:t>20</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69A90BF2" w:rsidR="009F52D7" w:rsidRPr="00303915" w:rsidRDefault="009F52D7" w:rsidP="009F52D7">
      <w:pPr>
        <w:pStyle w:val="CH"/>
        <w:rPr>
          <w:sz w:val="24"/>
          <w:szCs w:val="24"/>
        </w:rPr>
      </w:pPr>
      <w:r w:rsidRPr="00303915">
        <w:rPr>
          <w:sz w:val="24"/>
          <w:szCs w:val="24"/>
        </w:rPr>
        <w:t>Agenda item:</w:t>
      </w:r>
      <w:r w:rsidRPr="00303915">
        <w:rPr>
          <w:sz w:val="24"/>
          <w:szCs w:val="24"/>
        </w:rPr>
        <w:tab/>
      </w:r>
      <w:r w:rsidR="003955A2" w:rsidRPr="003955A2">
        <w:rPr>
          <w:sz w:val="24"/>
          <w:szCs w:val="24"/>
        </w:rPr>
        <w:t>9.18.2.</w:t>
      </w:r>
      <w:r w:rsidR="00900F20">
        <w:rPr>
          <w:sz w:val="24"/>
          <w:szCs w:val="24"/>
        </w:rPr>
        <w:t>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205DC4AC"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3610C2" w:rsidRPr="003610C2">
        <w:rPr>
          <w:sz w:val="24"/>
          <w:szCs w:val="24"/>
        </w:rPr>
        <w:t>Discussion on RRM requirements for</w:t>
      </w:r>
      <w:r w:rsidR="00665623">
        <w:rPr>
          <w:sz w:val="24"/>
          <w:szCs w:val="24"/>
        </w:rPr>
        <w:t xml:space="preserve"> </w:t>
      </w:r>
      <w:r w:rsidR="00900F20">
        <w:rPr>
          <w:sz w:val="24"/>
          <w:szCs w:val="24"/>
        </w:rPr>
        <w:t>Unified TCI</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5205B178" w:rsidR="00C94AC7" w:rsidRPr="00316E46" w:rsidRDefault="000A6ED6" w:rsidP="00C94AC7">
      <w:pPr>
        <w:spacing w:after="120"/>
        <w:rPr>
          <w:sz w:val="20"/>
          <w:szCs w:val="20"/>
        </w:rPr>
      </w:pPr>
      <w:r w:rsidRPr="005B3E77">
        <w:rPr>
          <w:sz w:val="20"/>
          <w:szCs w:val="20"/>
        </w:rPr>
        <w:t>In RAN4#10</w:t>
      </w:r>
      <w:r>
        <w:rPr>
          <w:sz w:val="20"/>
          <w:szCs w:val="20"/>
        </w:rPr>
        <w:t>2</w:t>
      </w:r>
      <w:r w:rsidRPr="005B3E77">
        <w:rPr>
          <w:sz w:val="20"/>
          <w:szCs w:val="20"/>
        </w:rPr>
        <w:t xml:space="preserve">-e requirements for intercell beam management were discussed and way forward [1] was </w:t>
      </w:r>
      <w:r w:rsidRPr="000A6ED6">
        <w:rPr>
          <w:sz w:val="20"/>
          <w:szCs w:val="20"/>
        </w:rPr>
        <w:t xml:space="preserve">agreed. </w:t>
      </w:r>
      <w:r w:rsidR="00C94AC7" w:rsidRPr="000A6ED6">
        <w:rPr>
          <w:sz w:val="20"/>
          <w:szCs w:val="20"/>
        </w:rPr>
        <w:t xml:space="preserve"> </w:t>
      </w:r>
      <w:r w:rsidRPr="000A6ED6">
        <w:rPr>
          <w:sz w:val="20"/>
          <w:szCs w:val="20"/>
        </w:rPr>
        <w:t>In this</w:t>
      </w:r>
      <w:r w:rsidRPr="005B3E77">
        <w:rPr>
          <w:sz w:val="20"/>
          <w:szCs w:val="20"/>
        </w:rPr>
        <w:t xml:space="preserve"> contribution we present our views on </w:t>
      </w:r>
      <w:r w:rsidR="007E6406">
        <w:rPr>
          <w:sz w:val="20"/>
          <w:szCs w:val="20"/>
        </w:rPr>
        <w:t xml:space="preserve">open issues on </w:t>
      </w:r>
      <w:r w:rsidRPr="005B3E77">
        <w:rPr>
          <w:sz w:val="20"/>
          <w:szCs w:val="20"/>
        </w:rPr>
        <w:t xml:space="preserve">requirements for </w:t>
      </w:r>
      <w:r w:rsidR="007E6406">
        <w:rPr>
          <w:sz w:val="20"/>
          <w:szCs w:val="20"/>
        </w:rPr>
        <w:t>unified TCI</w:t>
      </w:r>
      <w:r>
        <w:rPr>
          <w:sz w:val="20"/>
          <w:szCs w:val="20"/>
        </w:rPr>
        <w:t xml:space="preserve">. </w:t>
      </w:r>
      <w:r w:rsidR="00C94AC7" w:rsidRPr="00316E46">
        <w:rPr>
          <w:sz w:val="20"/>
          <w:szCs w:val="20"/>
        </w:rPr>
        <w:t xml:space="preserve">  </w:t>
      </w:r>
    </w:p>
    <w:p w14:paraId="4EAFA8EB" w14:textId="77777777" w:rsidR="009F52D7" w:rsidRDefault="009F52D7" w:rsidP="009F52D7">
      <w:pPr>
        <w:pStyle w:val="Heading1"/>
      </w:pPr>
      <w:r>
        <w:t>2. Discussion</w:t>
      </w:r>
    </w:p>
    <w:p w14:paraId="43F01072" w14:textId="4E528B79" w:rsidR="009F52D7" w:rsidRDefault="00AB5027" w:rsidP="009F52D7">
      <w:pPr>
        <w:pStyle w:val="Heading2"/>
      </w:pPr>
      <w:r>
        <w:t xml:space="preserve">UL TCI State Switching Requirements </w:t>
      </w:r>
      <w:r w:rsidR="003006DF" w:rsidRPr="00B749F7">
        <w:t xml:space="preserve"> </w:t>
      </w:r>
    </w:p>
    <w:p w14:paraId="06861C7B" w14:textId="7819084A" w:rsidR="00013E10" w:rsidRPr="008E2F20" w:rsidRDefault="00013E10" w:rsidP="00013E10">
      <w:pPr>
        <w:spacing w:after="120"/>
        <w:rPr>
          <w:b/>
          <w:bCs/>
          <w:u w:val="single"/>
          <w:lang w:val="en-GB"/>
        </w:rPr>
      </w:pPr>
      <w:r w:rsidRPr="008E2F20">
        <w:rPr>
          <w:b/>
          <w:bCs/>
          <w:u w:val="single"/>
          <w:lang w:val="en-GB"/>
        </w:rPr>
        <w:t>Condition for DCI based switch</w:t>
      </w:r>
    </w:p>
    <w:p w14:paraId="735FF677" w14:textId="4418BB39" w:rsidR="00013E10" w:rsidRDefault="00AD6271" w:rsidP="00013E10">
      <w:pPr>
        <w:spacing w:after="120"/>
        <w:rPr>
          <w:lang w:val="en-GB"/>
        </w:rPr>
      </w:pPr>
      <w:r>
        <w:rPr>
          <w:lang w:val="en-GB"/>
        </w:rPr>
        <w:t>For DCI based DL TCI state switch it is agreed that the target TCI state is known and in active TCI state list. But for UL TCI state switch it is FFS:</w:t>
      </w:r>
    </w:p>
    <w:p w14:paraId="06501A9B" w14:textId="77777777" w:rsidR="00AD6271" w:rsidRPr="00AD6271" w:rsidRDefault="00AD6271" w:rsidP="00AD6271">
      <w:pPr>
        <w:spacing w:after="120"/>
        <w:ind w:left="500"/>
        <w:rPr>
          <w:bCs/>
          <w:u w:val="single"/>
          <w:lang w:val="en-GB"/>
        </w:rPr>
      </w:pPr>
      <w:r w:rsidRPr="00AD6271">
        <w:rPr>
          <w:bCs/>
          <w:u w:val="single"/>
          <w:lang w:val="en-GB"/>
        </w:rPr>
        <w:t xml:space="preserve">Issue 1-2-1 Requirement applicability of DCI based DL and UL TCI state switching delay </w:t>
      </w:r>
    </w:p>
    <w:p w14:paraId="4A1956CB" w14:textId="77777777" w:rsidR="00AD6271" w:rsidRPr="00AD6271" w:rsidRDefault="00AD6271" w:rsidP="00AD6271">
      <w:pPr>
        <w:numPr>
          <w:ilvl w:val="0"/>
          <w:numId w:val="3"/>
        </w:numPr>
        <w:spacing w:after="120"/>
        <w:ind w:left="1360"/>
        <w:rPr>
          <w:i/>
        </w:rPr>
      </w:pPr>
      <w:proofErr w:type="spellStart"/>
      <w:r w:rsidRPr="00AD6271">
        <w:rPr>
          <w:lang w:val="sv-SE"/>
        </w:rPr>
        <w:t>target</w:t>
      </w:r>
      <w:proofErr w:type="spellEnd"/>
      <w:r w:rsidRPr="00AD6271">
        <w:rPr>
          <w:lang w:val="sv-SE"/>
        </w:rPr>
        <w:t xml:space="preserve"> TCI </w:t>
      </w:r>
      <w:proofErr w:type="spellStart"/>
      <w:r w:rsidRPr="00AD6271">
        <w:rPr>
          <w:lang w:val="sv-SE"/>
        </w:rPr>
        <w:t>state</w:t>
      </w:r>
      <w:proofErr w:type="spellEnd"/>
      <w:r w:rsidRPr="00AD6271">
        <w:rPr>
          <w:lang w:val="sv-SE"/>
        </w:rPr>
        <w:t xml:space="preserve"> is </w:t>
      </w:r>
      <w:proofErr w:type="spellStart"/>
      <w:r w:rsidRPr="00AD6271">
        <w:rPr>
          <w:lang w:val="sv-SE"/>
        </w:rPr>
        <w:t>known</w:t>
      </w:r>
      <w:proofErr w:type="spellEnd"/>
    </w:p>
    <w:p w14:paraId="49238336" w14:textId="77777777" w:rsidR="00AD6271" w:rsidRPr="00AD6271" w:rsidRDefault="00AD6271" w:rsidP="00AD6271">
      <w:pPr>
        <w:numPr>
          <w:ilvl w:val="0"/>
          <w:numId w:val="7"/>
        </w:numPr>
        <w:spacing w:after="120"/>
        <w:ind w:left="1580"/>
        <w:rPr>
          <w:lang w:val="sv-SE"/>
        </w:rPr>
      </w:pPr>
      <w:r w:rsidRPr="00AD6271">
        <w:rPr>
          <w:lang w:val="sv-SE"/>
        </w:rPr>
        <w:t xml:space="preserve">Note: </w:t>
      </w:r>
      <w:r w:rsidRPr="00AD6271">
        <w:t>UL TCI known state will be further clarified</w:t>
      </w:r>
    </w:p>
    <w:p w14:paraId="726D83CF" w14:textId="77777777" w:rsidR="00AD6271" w:rsidRPr="00AD6271" w:rsidRDefault="00AD6271" w:rsidP="00AD6271">
      <w:pPr>
        <w:numPr>
          <w:ilvl w:val="0"/>
          <w:numId w:val="3"/>
        </w:numPr>
        <w:spacing w:after="120"/>
        <w:ind w:left="1360"/>
        <w:rPr>
          <w:i/>
        </w:rPr>
      </w:pPr>
      <w:proofErr w:type="spellStart"/>
      <w:r w:rsidRPr="00AD6271">
        <w:rPr>
          <w:lang w:val="sv-SE"/>
        </w:rPr>
        <w:t>target</w:t>
      </w:r>
      <w:proofErr w:type="spellEnd"/>
      <w:r w:rsidRPr="00AD6271">
        <w:rPr>
          <w:lang w:val="sv-SE"/>
        </w:rPr>
        <w:t xml:space="preserve"> TCI </w:t>
      </w:r>
      <w:proofErr w:type="spellStart"/>
      <w:r w:rsidRPr="00AD6271">
        <w:rPr>
          <w:lang w:val="sv-SE"/>
        </w:rPr>
        <w:t>state</w:t>
      </w:r>
      <w:proofErr w:type="spellEnd"/>
      <w:r w:rsidRPr="00AD6271">
        <w:rPr>
          <w:lang w:val="sv-SE"/>
        </w:rPr>
        <w:t xml:space="preserve"> is in </w:t>
      </w:r>
      <w:proofErr w:type="spellStart"/>
      <w:r w:rsidRPr="00AD6271">
        <w:rPr>
          <w:lang w:val="sv-SE"/>
        </w:rPr>
        <w:t>active</w:t>
      </w:r>
      <w:proofErr w:type="spellEnd"/>
      <w:r w:rsidRPr="00AD6271">
        <w:rPr>
          <w:lang w:val="sv-SE"/>
        </w:rPr>
        <w:t xml:space="preserve"> TCI </w:t>
      </w:r>
      <w:proofErr w:type="spellStart"/>
      <w:r w:rsidRPr="00AD6271">
        <w:rPr>
          <w:lang w:val="sv-SE"/>
        </w:rPr>
        <w:t>state</w:t>
      </w:r>
      <w:proofErr w:type="spellEnd"/>
      <w:r w:rsidRPr="00AD6271">
        <w:rPr>
          <w:lang w:val="sv-SE"/>
        </w:rPr>
        <w:t xml:space="preserve"> list for DL </w:t>
      </w:r>
      <w:proofErr w:type="gramStart"/>
      <w:r w:rsidRPr="00AD6271">
        <w:rPr>
          <w:lang w:val="sv-SE"/>
        </w:rPr>
        <w:t>and joint</w:t>
      </w:r>
      <w:proofErr w:type="gramEnd"/>
      <w:r w:rsidRPr="00AD6271">
        <w:rPr>
          <w:lang w:val="sv-SE"/>
        </w:rPr>
        <w:t xml:space="preserve"> TCI switch</w:t>
      </w:r>
    </w:p>
    <w:p w14:paraId="6E668A31" w14:textId="77777777" w:rsidR="00AD6271" w:rsidRPr="00AD6271" w:rsidRDefault="00AD6271" w:rsidP="00AD6271">
      <w:pPr>
        <w:numPr>
          <w:ilvl w:val="0"/>
          <w:numId w:val="3"/>
        </w:numPr>
        <w:spacing w:after="120"/>
        <w:ind w:left="1360"/>
        <w:rPr>
          <w:lang w:val="sv-SE"/>
        </w:rPr>
      </w:pPr>
      <w:r w:rsidRPr="00AD6271">
        <w:rPr>
          <w:lang w:val="sv-SE"/>
        </w:rPr>
        <w:t xml:space="preserve">FFS: </w:t>
      </w:r>
      <w:proofErr w:type="spellStart"/>
      <w:r w:rsidRPr="00AD6271">
        <w:rPr>
          <w:lang w:val="sv-SE"/>
        </w:rPr>
        <w:t>target</w:t>
      </w:r>
      <w:proofErr w:type="spellEnd"/>
      <w:r w:rsidRPr="00AD6271">
        <w:rPr>
          <w:lang w:val="sv-SE"/>
        </w:rPr>
        <w:t xml:space="preserve"> TCI </w:t>
      </w:r>
      <w:proofErr w:type="spellStart"/>
      <w:r w:rsidRPr="00AD6271">
        <w:rPr>
          <w:lang w:val="sv-SE"/>
        </w:rPr>
        <w:t>state</w:t>
      </w:r>
      <w:proofErr w:type="spellEnd"/>
      <w:r w:rsidRPr="00AD6271">
        <w:rPr>
          <w:lang w:val="sv-SE"/>
        </w:rPr>
        <w:t xml:space="preserve"> is </w:t>
      </w:r>
      <w:proofErr w:type="spellStart"/>
      <w:r w:rsidRPr="00AD6271">
        <w:rPr>
          <w:lang w:val="sv-SE"/>
        </w:rPr>
        <w:t>maintained</w:t>
      </w:r>
      <w:proofErr w:type="spellEnd"/>
      <w:r w:rsidRPr="00AD6271">
        <w:rPr>
          <w:lang w:val="sv-SE"/>
        </w:rPr>
        <w:t xml:space="preserve"> for </w:t>
      </w:r>
      <w:proofErr w:type="gramStart"/>
      <w:r w:rsidRPr="00AD6271">
        <w:rPr>
          <w:lang w:val="sv-SE"/>
        </w:rPr>
        <w:t>UL and</w:t>
      </w:r>
      <w:proofErr w:type="gramEnd"/>
      <w:r w:rsidRPr="00AD6271">
        <w:rPr>
          <w:lang w:val="sv-SE"/>
        </w:rPr>
        <w:t xml:space="preserve"> joint TCI </w:t>
      </w:r>
      <w:proofErr w:type="spellStart"/>
      <w:r w:rsidRPr="00AD6271">
        <w:rPr>
          <w:lang w:val="sv-SE"/>
        </w:rPr>
        <w:t>state</w:t>
      </w:r>
      <w:proofErr w:type="spellEnd"/>
      <w:r w:rsidRPr="00AD6271">
        <w:rPr>
          <w:lang w:val="sv-SE"/>
        </w:rPr>
        <w:t xml:space="preserve"> switch.</w:t>
      </w:r>
    </w:p>
    <w:p w14:paraId="21E4A8F8" w14:textId="4262F61B" w:rsidR="00E9141B" w:rsidRDefault="00AD6271" w:rsidP="00013E10">
      <w:pPr>
        <w:spacing w:after="120"/>
        <w:rPr>
          <w:lang w:val="en-GB"/>
        </w:rPr>
      </w:pPr>
      <w:r>
        <w:rPr>
          <w:lang w:val="en-GB"/>
        </w:rPr>
        <w:t xml:space="preserve">In unified TCI framework, we have </w:t>
      </w:r>
      <w:proofErr w:type="gramStart"/>
      <w:r>
        <w:rPr>
          <w:lang w:val="en-GB"/>
        </w:rPr>
        <w:t>a</w:t>
      </w:r>
      <w:proofErr w:type="gramEnd"/>
      <w:r>
        <w:rPr>
          <w:lang w:val="en-GB"/>
        </w:rPr>
        <w:t xml:space="preserve"> </w:t>
      </w:r>
      <w:r w:rsidR="006F6951">
        <w:rPr>
          <w:lang w:val="en-GB"/>
        </w:rPr>
        <w:t xml:space="preserve">activated </w:t>
      </w:r>
      <w:r>
        <w:rPr>
          <w:lang w:val="en-GB"/>
        </w:rPr>
        <w:t xml:space="preserve">DL TCI </w:t>
      </w:r>
      <w:r w:rsidR="006F6951">
        <w:rPr>
          <w:lang w:val="en-GB"/>
        </w:rPr>
        <w:t>– active Dl TCI state list</w:t>
      </w:r>
      <w:r>
        <w:rPr>
          <w:lang w:val="en-GB"/>
        </w:rPr>
        <w:t xml:space="preserve"> and </w:t>
      </w:r>
      <w:r w:rsidR="006F6951">
        <w:rPr>
          <w:lang w:val="en-GB"/>
        </w:rPr>
        <w:t xml:space="preserve">activated UL TCI - </w:t>
      </w:r>
      <w:r>
        <w:rPr>
          <w:lang w:val="en-GB"/>
        </w:rPr>
        <w:t xml:space="preserve">UL TCI </w:t>
      </w:r>
      <w:r w:rsidR="006F6951">
        <w:rPr>
          <w:lang w:val="en-GB"/>
        </w:rPr>
        <w:t xml:space="preserve">state </w:t>
      </w:r>
      <w:r>
        <w:rPr>
          <w:lang w:val="en-GB"/>
        </w:rPr>
        <w:t xml:space="preserve">list. The UE </w:t>
      </w:r>
      <w:r w:rsidR="00E9141B">
        <w:rPr>
          <w:lang w:val="en-GB"/>
        </w:rPr>
        <w:t xml:space="preserve">is expected to track the TCI states in </w:t>
      </w:r>
      <w:r w:rsidR="006F6951">
        <w:rPr>
          <w:lang w:val="en-GB"/>
        </w:rPr>
        <w:t xml:space="preserve">activated </w:t>
      </w:r>
      <w:r w:rsidR="00E9141B">
        <w:rPr>
          <w:lang w:val="en-GB"/>
        </w:rPr>
        <w:t xml:space="preserve">DL </w:t>
      </w:r>
      <w:proofErr w:type="gramStart"/>
      <w:r w:rsidR="00E9141B">
        <w:rPr>
          <w:lang w:val="en-GB"/>
        </w:rPr>
        <w:t>TCI</w:t>
      </w:r>
      <w:proofErr w:type="gramEnd"/>
      <w:r w:rsidR="00E9141B">
        <w:rPr>
          <w:lang w:val="en-GB"/>
        </w:rPr>
        <w:t xml:space="preserve"> </w:t>
      </w:r>
      <w:r w:rsidR="006F6951">
        <w:rPr>
          <w:lang w:val="en-GB"/>
        </w:rPr>
        <w:t>and this is also reflected in requirements from Rel-15 on DL TCI state switch. Also, the UE is expected to</w:t>
      </w:r>
      <w:r w:rsidR="00E9141B">
        <w:rPr>
          <w:lang w:val="en-GB"/>
        </w:rPr>
        <w:t xml:space="preserve"> maintain the PL-RS in or associated with the </w:t>
      </w:r>
      <w:r w:rsidR="006F6951">
        <w:rPr>
          <w:lang w:val="en-GB"/>
        </w:rPr>
        <w:t xml:space="preserve">activated </w:t>
      </w:r>
      <w:r w:rsidR="00E9141B">
        <w:rPr>
          <w:lang w:val="en-GB"/>
        </w:rPr>
        <w:t>UL TCI states</w:t>
      </w:r>
      <w:r w:rsidR="006F6951">
        <w:rPr>
          <w:lang w:val="en-GB"/>
        </w:rPr>
        <w:t xml:space="preserve"> – or UL TCI state list</w:t>
      </w:r>
      <w:r w:rsidR="00E9141B">
        <w:rPr>
          <w:lang w:val="en-GB"/>
        </w:rPr>
        <w:t xml:space="preserve">. </w:t>
      </w:r>
    </w:p>
    <w:p w14:paraId="2AEAFDB1" w14:textId="0599F565" w:rsidR="00E9141B" w:rsidRDefault="00E9141B" w:rsidP="00013E10">
      <w:pPr>
        <w:spacing w:after="120"/>
        <w:rPr>
          <w:lang w:val="en-GB"/>
        </w:rPr>
      </w:pPr>
      <w:r>
        <w:rPr>
          <w:lang w:val="en-GB"/>
        </w:rPr>
        <w:t xml:space="preserve">The following agreement in RAN1#105-e </w:t>
      </w:r>
      <w:r w:rsidR="006F6951">
        <w:rPr>
          <w:lang w:val="en-GB"/>
        </w:rPr>
        <w:t>also supports this:</w:t>
      </w:r>
    </w:p>
    <w:p w14:paraId="004641C5" w14:textId="2255DA04" w:rsidR="00E9141B" w:rsidRDefault="00E9141B" w:rsidP="00013E10">
      <w:pPr>
        <w:spacing w:after="120"/>
        <w:rPr>
          <w:lang w:val="en-GB"/>
        </w:rPr>
      </w:pPr>
    </w:p>
    <w:p w14:paraId="52998ED0" w14:textId="0C441A07" w:rsidR="00E9141B" w:rsidRDefault="00E9141B" w:rsidP="00013E10">
      <w:pPr>
        <w:spacing w:after="120"/>
        <w:rPr>
          <w:lang w:val="en-GB"/>
        </w:rPr>
      </w:pPr>
      <w:r w:rsidRPr="00E9141B">
        <w:rPr>
          <w:noProof/>
          <w:lang w:val="en-GB"/>
        </w:rPr>
        <w:lastRenderedPageBreak/>
        <w:drawing>
          <wp:inline distT="0" distB="0" distL="0" distR="0" wp14:anchorId="2BA73A43" wp14:editId="6B100F33">
            <wp:extent cx="5943600" cy="2898775"/>
            <wp:effectExtent l="12700" t="12700" r="12700" b="952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5"/>
                    <a:stretch>
                      <a:fillRect/>
                    </a:stretch>
                  </pic:blipFill>
                  <pic:spPr>
                    <a:xfrm>
                      <a:off x="0" y="0"/>
                      <a:ext cx="5943600" cy="2898775"/>
                    </a:xfrm>
                    <a:prstGeom prst="rect">
                      <a:avLst/>
                    </a:prstGeom>
                    <a:ln>
                      <a:solidFill>
                        <a:schemeClr val="tx1"/>
                      </a:solidFill>
                    </a:ln>
                  </pic:spPr>
                </pic:pic>
              </a:graphicData>
            </a:graphic>
          </wp:inline>
        </w:drawing>
      </w:r>
    </w:p>
    <w:p w14:paraId="03D35C3E" w14:textId="6293C1D3" w:rsidR="00AD6271" w:rsidRDefault="00E9141B" w:rsidP="00013E10">
      <w:pPr>
        <w:spacing w:after="120"/>
        <w:rPr>
          <w:lang w:val="en-GB"/>
        </w:rPr>
      </w:pPr>
      <w:r>
        <w:rPr>
          <w:lang w:val="en-GB"/>
        </w:rPr>
        <w:t xml:space="preserve">DCI based TCI state switch is expected to be fast without any additional measurements required at the UE prior to the switch, hence we propose that for DCI based UL TCI state switch, the requirements are applicable if </w:t>
      </w:r>
      <w:r w:rsidR="006F6951">
        <w:rPr>
          <w:lang w:val="en-GB"/>
        </w:rPr>
        <w:t>the target TCI state is known and in activated UL TCI state.</w:t>
      </w:r>
    </w:p>
    <w:p w14:paraId="625993EA" w14:textId="77777777" w:rsidR="00AD6271" w:rsidRDefault="00AD6271" w:rsidP="00013E10">
      <w:pPr>
        <w:spacing w:after="120"/>
        <w:rPr>
          <w:lang w:val="en-GB"/>
        </w:rPr>
      </w:pPr>
    </w:p>
    <w:p w14:paraId="33A55F3E" w14:textId="39E1479B" w:rsidR="008E2F20" w:rsidRPr="008E2F20" w:rsidRDefault="008E2F20" w:rsidP="00013E10">
      <w:pPr>
        <w:spacing w:after="120"/>
        <w:rPr>
          <w:b/>
          <w:bCs/>
          <w:lang w:val="en-GB"/>
        </w:rPr>
      </w:pPr>
      <w:r>
        <w:rPr>
          <w:b/>
          <w:bCs/>
          <w:lang w:val="en-GB"/>
        </w:rPr>
        <w:t xml:space="preserve">Proposal #1: DCI based UL TCI state switch shall be applicable when target TCI state is known and in </w:t>
      </w:r>
      <w:r w:rsidR="006F6951">
        <w:rPr>
          <w:b/>
          <w:bCs/>
          <w:lang w:val="en-GB"/>
        </w:rPr>
        <w:t xml:space="preserve">activated </w:t>
      </w:r>
      <w:r>
        <w:rPr>
          <w:b/>
          <w:bCs/>
          <w:lang w:val="en-GB"/>
        </w:rPr>
        <w:t>UL TCI state list.</w:t>
      </w:r>
    </w:p>
    <w:p w14:paraId="7BA14447" w14:textId="5DDF8BF9" w:rsidR="00AB5027" w:rsidRPr="008E2F20" w:rsidRDefault="00AB5027" w:rsidP="00013E10">
      <w:pPr>
        <w:spacing w:after="120"/>
        <w:rPr>
          <w:b/>
          <w:bCs/>
          <w:u w:val="single"/>
          <w:lang w:val="en-GB"/>
        </w:rPr>
      </w:pPr>
      <w:r w:rsidRPr="008E2F20">
        <w:rPr>
          <w:b/>
          <w:bCs/>
          <w:u w:val="single"/>
          <w:lang w:val="en-GB"/>
        </w:rPr>
        <w:t xml:space="preserve">Requirements when </w:t>
      </w:r>
      <w:r w:rsidR="00013E10" w:rsidRPr="008E2F20">
        <w:rPr>
          <w:b/>
          <w:bCs/>
          <w:u w:val="single"/>
          <w:lang w:val="en-GB"/>
        </w:rPr>
        <w:t>PL-RS is SSB in FR2</w:t>
      </w:r>
    </w:p>
    <w:p w14:paraId="4CD6134C" w14:textId="2F95E86B" w:rsidR="008E2F20" w:rsidRDefault="00E73CEF" w:rsidP="00013E10">
      <w:pPr>
        <w:spacing w:after="120"/>
        <w:rPr>
          <w:lang w:val="en-GB"/>
        </w:rPr>
      </w:pPr>
      <w:r>
        <w:rPr>
          <w:lang w:val="en-GB"/>
        </w:rPr>
        <w:t>In the last meeting there was discussion on UL TCI state switching delay when PL-RS is SSB:</w:t>
      </w:r>
    </w:p>
    <w:p w14:paraId="38CB0F79" w14:textId="77777777" w:rsidR="00E73CEF" w:rsidRPr="00E73CEF" w:rsidRDefault="00E73CEF" w:rsidP="00E73CEF">
      <w:pPr>
        <w:spacing w:after="120"/>
        <w:ind w:left="500"/>
        <w:rPr>
          <w:bCs/>
          <w:u w:val="single"/>
          <w:lang w:val="en-GB"/>
        </w:rPr>
      </w:pPr>
      <w:r w:rsidRPr="00E73CEF">
        <w:rPr>
          <w:bCs/>
          <w:u w:val="single"/>
          <w:lang w:val="en-GB"/>
        </w:rPr>
        <w:t>Issue 1-2-5 MAC-CE based UL TCI state switching delay when SSB is indicated as PL-RS in UL TCI state</w:t>
      </w:r>
      <w:r w:rsidRPr="00E73CEF" w:rsidDel="0044788E">
        <w:rPr>
          <w:bCs/>
          <w:u w:val="single"/>
          <w:lang w:val="en-GB"/>
        </w:rPr>
        <w:t xml:space="preserve"> </w:t>
      </w:r>
      <w:r w:rsidRPr="00E73CEF">
        <w:rPr>
          <w:bCs/>
          <w:u w:val="single"/>
          <w:lang w:val="en-GB"/>
        </w:rPr>
        <w:t>for FR2</w:t>
      </w:r>
    </w:p>
    <w:p w14:paraId="611D66DA" w14:textId="77777777" w:rsidR="00E73CEF" w:rsidRPr="00E73CEF" w:rsidRDefault="00E73CEF" w:rsidP="00E73CEF">
      <w:pPr>
        <w:numPr>
          <w:ilvl w:val="0"/>
          <w:numId w:val="3"/>
        </w:numPr>
        <w:spacing w:after="120"/>
        <w:ind w:left="1360"/>
        <w:rPr>
          <w:bCs/>
          <w:lang w:val="en-GB"/>
        </w:rPr>
      </w:pPr>
      <w:r w:rsidRPr="00E73CEF">
        <w:rPr>
          <w:bCs/>
          <w:lang w:val="en-GB"/>
        </w:rPr>
        <w:t>Proposals</w:t>
      </w:r>
    </w:p>
    <w:p w14:paraId="3FFFA77D" w14:textId="2DC2DC43" w:rsidR="00E73CEF" w:rsidRPr="00E73CEF" w:rsidRDefault="00E73CEF" w:rsidP="00E73CEF">
      <w:pPr>
        <w:numPr>
          <w:ilvl w:val="1"/>
          <w:numId w:val="3"/>
        </w:numPr>
        <w:spacing w:after="120"/>
        <w:ind w:left="2080"/>
        <w:rPr>
          <w:bCs/>
          <w:lang w:val="en-GB"/>
        </w:rPr>
      </w:pPr>
      <w:r w:rsidRPr="00E73CEF">
        <w:rPr>
          <w:bCs/>
          <w:lang w:val="en-GB"/>
        </w:rPr>
        <w:t>Option 1:</w:t>
      </w:r>
    </w:p>
    <w:p w14:paraId="4DC94EA3" w14:textId="77777777" w:rsidR="00E73CEF" w:rsidRPr="00E73CEF" w:rsidRDefault="00E73CEF" w:rsidP="00E73CEF">
      <w:pPr>
        <w:numPr>
          <w:ilvl w:val="2"/>
          <w:numId w:val="3"/>
        </w:numPr>
        <w:spacing w:after="120"/>
        <w:ind w:left="2800"/>
        <w:rPr>
          <w:lang w:val="sv-SE"/>
        </w:rPr>
      </w:pPr>
      <w:proofErr w:type="spellStart"/>
      <w:r w:rsidRPr="00E73CEF">
        <w:rPr>
          <w:lang w:val="sv-SE"/>
        </w:rPr>
        <w:t>When</w:t>
      </w:r>
      <w:proofErr w:type="spellEnd"/>
      <w:r w:rsidRPr="00E73CEF">
        <w:rPr>
          <w:lang w:val="sv-SE"/>
        </w:rPr>
        <w:t xml:space="preserve"> a SSB is </w:t>
      </w:r>
      <w:proofErr w:type="spellStart"/>
      <w:r w:rsidRPr="00E73CEF">
        <w:rPr>
          <w:lang w:val="sv-SE"/>
        </w:rPr>
        <w:t>indicated</w:t>
      </w:r>
      <w:proofErr w:type="spellEnd"/>
      <w:r w:rsidRPr="00E73CEF">
        <w:rPr>
          <w:lang w:val="sv-SE"/>
        </w:rPr>
        <w:t xml:space="preserve"> as PL-RS in a UL TCI </w:t>
      </w:r>
      <w:proofErr w:type="spellStart"/>
      <w:r w:rsidRPr="00E73CEF">
        <w:rPr>
          <w:lang w:val="sv-SE"/>
        </w:rPr>
        <w:t>state</w:t>
      </w:r>
      <w:proofErr w:type="spellEnd"/>
      <w:r w:rsidRPr="00E73CEF">
        <w:rPr>
          <w:lang w:val="sv-SE"/>
        </w:rPr>
        <w:t xml:space="preserve">, the </w:t>
      </w:r>
      <w:proofErr w:type="spellStart"/>
      <w:r w:rsidRPr="00E73CEF">
        <w:rPr>
          <w:lang w:val="sv-SE"/>
        </w:rPr>
        <w:t>scaling</w:t>
      </w:r>
      <w:proofErr w:type="spellEnd"/>
      <w:r w:rsidRPr="00E73CEF">
        <w:rPr>
          <w:lang w:val="sv-SE"/>
        </w:rPr>
        <w:t xml:space="preserve"> </w:t>
      </w:r>
      <w:proofErr w:type="spellStart"/>
      <w:r w:rsidRPr="00E73CEF">
        <w:rPr>
          <w:lang w:val="sv-SE"/>
        </w:rPr>
        <w:t>factor</w:t>
      </w:r>
      <w:proofErr w:type="spellEnd"/>
      <w:r w:rsidRPr="00E73CEF">
        <w:rPr>
          <w:lang w:val="sv-SE"/>
        </w:rPr>
        <w:t xml:space="preserve"> for </w:t>
      </w:r>
      <w:proofErr w:type="spellStart"/>
      <w:r w:rsidRPr="00E73CEF">
        <w:rPr>
          <w:lang w:val="sv-SE"/>
        </w:rPr>
        <w:t>beam</w:t>
      </w:r>
      <w:proofErr w:type="spellEnd"/>
      <w:r w:rsidRPr="00E73CEF">
        <w:rPr>
          <w:lang w:val="sv-SE"/>
        </w:rPr>
        <w:t xml:space="preserve"> </w:t>
      </w:r>
      <w:proofErr w:type="spellStart"/>
      <w:r w:rsidRPr="00E73CEF">
        <w:rPr>
          <w:lang w:val="sv-SE"/>
        </w:rPr>
        <w:t>sweeping</w:t>
      </w:r>
      <w:proofErr w:type="spellEnd"/>
      <w:r w:rsidRPr="00E73CEF">
        <w:rPr>
          <w:lang w:val="sv-SE"/>
        </w:rPr>
        <w:t xml:space="preserve"> </w:t>
      </w:r>
      <w:proofErr w:type="spellStart"/>
      <w:r w:rsidRPr="00E73CEF">
        <w:rPr>
          <w:lang w:val="sv-SE"/>
        </w:rPr>
        <w:t>needs</w:t>
      </w:r>
      <w:proofErr w:type="spellEnd"/>
      <w:r w:rsidRPr="00E73CEF">
        <w:rPr>
          <w:lang w:val="sv-SE"/>
        </w:rPr>
        <w:t xml:space="preserve"> to be </w:t>
      </w:r>
      <w:proofErr w:type="spellStart"/>
      <w:r w:rsidRPr="00E73CEF">
        <w:rPr>
          <w:lang w:val="sv-SE"/>
        </w:rPr>
        <w:t>introduced</w:t>
      </w:r>
      <w:proofErr w:type="spellEnd"/>
      <w:r w:rsidRPr="00E73CEF">
        <w:rPr>
          <w:lang w:val="sv-SE"/>
        </w:rPr>
        <w:t xml:space="preserve"> for PL-RS </w:t>
      </w:r>
      <w:proofErr w:type="spellStart"/>
      <w:r w:rsidRPr="00E73CEF">
        <w:rPr>
          <w:lang w:val="sv-SE"/>
        </w:rPr>
        <w:t>measurement</w:t>
      </w:r>
      <w:proofErr w:type="spellEnd"/>
      <w:r w:rsidRPr="00E73CEF">
        <w:rPr>
          <w:lang w:val="sv-SE"/>
        </w:rPr>
        <w:t xml:space="preserve"> </w:t>
      </w:r>
      <w:proofErr w:type="spellStart"/>
      <w:r w:rsidRPr="00E73CEF">
        <w:rPr>
          <w:lang w:val="sv-SE"/>
        </w:rPr>
        <w:t>time</w:t>
      </w:r>
      <w:proofErr w:type="spellEnd"/>
      <w:r w:rsidRPr="00E73CEF">
        <w:rPr>
          <w:lang w:val="sv-SE"/>
        </w:rPr>
        <w:t xml:space="preserve"> in FR2.</w:t>
      </w:r>
    </w:p>
    <w:p w14:paraId="3EDA9017" w14:textId="77777777" w:rsidR="00E73CEF" w:rsidRPr="00E73CEF" w:rsidRDefault="00E73CEF" w:rsidP="00E73CEF">
      <w:pPr>
        <w:numPr>
          <w:ilvl w:val="2"/>
          <w:numId w:val="3"/>
        </w:numPr>
        <w:spacing w:after="120"/>
        <w:ind w:left="2800"/>
        <w:rPr>
          <w:lang w:val="sv-SE"/>
        </w:rPr>
      </w:pPr>
      <w:r w:rsidRPr="00E73CEF">
        <w:rPr>
          <w:lang w:val="sv-SE"/>
        </w:rPr>
        <w:t xml:space="preserve">In FR2, the MAC-CE </w:t>
      </w:r>
      <w:proofErr w:type="spellStart"/>
      <w:r w:rsidRPr="00E73CEF">
        <w:rPr>
          <w:lang w:val="sv-SE"/>
        </w:rPr>
        <w:t>based</w:t>
      </w:r>
      <w:proofErr w:type="spellEnd"/>
      <w:r w:rsidRPr="00E73CEF">
        <w:rPr>
          <w:lang w:val="sv-SE"/>
        </w:rPr>
        <w:t xml:space="preserve"> UL TCI </w:t>
      </w:r>
      <w:proofErr w:type="spellStart"/>
      <w:r w:rsidRPr="00E73CEF">
        <w:rPr>
          <w:lang w:val="sv-SE"/>
        </w:rPr>
        <w:t>state</w:t>
      </w:r>
      <w:proofErr w:type="spellEnd"/>
      <w:r w:rsidRPr="00E73CEF">
        <w:rPr>
          <w:lang w:val="sv-SE"/>
        </w:rPr>
        <w:t xml:space="preserve"> </w:t>
      </w:r>
      <w:proofErr w:type="spellStart"/>
      <w:r w:rsidRPr="00E73CEF">
        <w:rPr>
          <w:lang w:val="sv-SE"/>
        </w:rPr>
        <w:t>switching</w:t>
      </w:r>
      <w:proofErr w:type="spellEnd"/>
      <w:r w:rsidRPr="00E73CEF">
        <w:rPr>
          <w:lang w:val="sv-SE"/>
        </w:rPr>
        <w:t xml:space="preserve"> </w:t>
      </w:r>
      <w:proofErr w:type="spellStart"/>
      <w:r w:rsidRPr="00E73CEF">
        <w:rPr>
          <w:lang w:val="sv-SE"/>
        </w:rPr>
        <w:t>delay</w:t>
      </w:r>
      <w:proofErr w:type="spellEnd"/>
      <w:r w:rsidRPr="00E73CEF">
        <w:rPr>
          <w:lang w:val="sv-SE"/>
        </w:rPr>
        <w:t xml:space="preserve"> </w:t>
      </w:r>
      <w:proofErr w:type="spellStart"/>
      <w:r w:rsidRPr="00E73CEF">
        <w:rPr>
          <w:lang w:val="sv-SE"/>
        </w:rPr>
        <w:t>need</w:t>
      </w:r>
      <w:proofErr w:type="spellEnd"/>
      <w:r w:rsidRPr="00E73CEF">
        <w:rPr>
          <w:lang w:val="sv-SE"/>
        </w:rPr>
        <w:t xml:space="preserve"> to be </w:t>
      </w:r>
      <w:proofErr w:type="spellStart"/>
      <w:r w:rsidRPr="00E73CEF">
        <w:rPr>
          <w:lang w:val="sv-SE"/>
        </w:rPr>
        <w:t>separately</w:t>
      </w:r>
      <w:proofErr w:type="spellEnd"/>
      <w:r w:rsidRPr="00E73CEF">
        <w:rPr>
          <w:lang w:val="sv-SE"/>
        </w:rPr>
        <w:t xml:space="preserve"> </w:t>
      </w:r>
      <w:proofErr w:type="spellStart"/>
      <w:r w:rsidRPr="00E73CEF">
        <w:rPr>
          <w:lang w:val="sv-SE"/>
        </w:rPr>
        <w:t>defined</w:t>
      </w:r>
      <w:proofErr w:type="spellEnd"/>
      <w:r w:rsidRPr="00E73CEF">
        <w:rPr>
          <w:lang w:val="sv-SE"/>
        </w:rPr>
        <w:t xml:space="preserve"> for SSB </w:t>
      </w:r>
      <w:proofErr w:type="spellStart"/>
      <w:r w:rsidRPr="00E73CEF">
        <w:rPr>
          <w:lang w:val="sv-SE"/>
        </w:rPr>
        <w:t>based</w:t>
      </w:r>
      <w:proofErr w:type="spellEnd"/>
      <w:r w:rsidRPr="00E73CEF">
        <w:rPr>
          <w:lang w:val="sv-SE"/>
        </w:rPr>
        <w:t xml:space="preserve"> PL-RS.</w:t>
      </w:r>
    </w:p>
    <w:p w14:paraId="61D6AA21" w14:textId="77777777" w:rsidR="00E73CEF" w:rsidRPr="00E73CEF" w:rsidRDefault="00E73CEF" w:rsidP="00E73CEF">
      <w:pPr>
        <w:numPr>
          <w:ilvl w:val="2"/>
          <w:numId w:val="3"/>
        </w:numPr>
        <w:spacing w:after="120"/>
        <w:ind w:left="2800"/>
        <w:rPr>
          <w:bCs/>
          <w:iCs/>
        </w:rPr>
      </w:pPr>
      <w:r w:rsidRPr="00E73CEF">
        <w:rPr>
          <w:bCs/>
          <w:iCs/>
        </w:rPr>
        <w:t>In FR2, when a SSB is indicated as PL-RS in a UL TCI state, the MAC-CE based UL TCI state switching delay for both known case and unknown case can be defined as:</w:t>
      </w:r>
    </w:p>
    <w:p w14:paraId="0349A3C9" w14:textId="77777777" w:rsidR="00E73CEF" w:rsidRPr="00E73CEF" w:rsidRDefault="00E73CEF" w:rsidP="00E73CEF">
      <w:pPr>
        <w:numPr>
          <w:ilvl w:val="2"/>
          <w:numId w:val="8"/>
        </w:numPr>
        <w:spacing w:after="120"/>
        <w:ind w:left="2840"/>
        <w:rPr>
          <w:bCs/>
          <w:iCs/>
        </w:rPr>
      </w:pPr>
      <w:r w:rsidRPr="00E73CEF">
        <w:rPr>
          <w:bCs/>
          <w:iCs/>
        </w:rPr>
        <w:t>T</w:t>
      </w:r>
      <w:r w:rsidRPr="00E73CEF">
        <w:rPr>
          <w:bCs/>
          <w:iCs/>
          <w:vertAlign w:val="subscript"/>
        </w:rPr>
        <w:t>HARQ</w:t>
      </w:r>
      <w:r w:rsidRPr="00E73CEF">
        <w:rPr>
          <w:bCs/>
          <w:iCs/>
        </w:rPr>
        <w:t xml:space="preserve"> + 3ms + NM*(5*T</w:t>
      </w:r>
      <w:r w:rsidRPr="00E73CEF">
        <w:rPr>
          <w:bCs/>
          <w:iCs/>
          <w:vertAlign w:val="subscript"/>
        </w:rPr>
        <w:t>L1-RSRP_SSB</w:t>
      </w:r>
      <w:r w:rsidRPr="00E73CEF">
        <w:rPr>
          <w:bCs/>
          <w:iCs/>
        </w:rPr>
        <w:t xml:space="preserve"> + 2ms) with the assumption of M=1. </w:t>
      </w:r>
    </w:p>
    <w:p w14:paraId="3B1D09CC" w14:textId="77777777" w:rsidR="00E73CEF" w:rsidRPr="00E73CEF" w:rsidRDefault="00E73CEF" w:rsidP="00E73CEF">
      <w:pPr>
        <w:numPr>
          <w:ilvl w:val="2"/>
          <w:numId w:val="8"/>
        </w:numPr>
        <w:spacing w:after="120"/>
        <w:ind w:left="2840"/>
        <w:rPr>
          <w:bCs/>
          <w:iCs/>
        </w:rPr>
      </w:pPr>
      <w:r w:rsidRPr="00E73CEF">
        <w:rPr>
          <w:bCs/>
          <w:iCs/>
        </w:rPr>
        <w:t>Where NM = 1, if the target PL-RS is not maintained by the UE, 0 otherwise.</w:t>
      </w:r>
    </w:p>
    <w:p w14:paraId="640D9E4B" w14:textId="0B113C6F" w:rsidR="00E73CEF" w:rsidRPr="00E73CEF" w:rsidRDefault="00E73CEF" w:rsidP="00E73CEF">
      <w:pPr>
        <w:numPr>
          <w:ilvl w:val="1"/>
          <w:numId w:val="3"/>
        </w:numPr>
        <w:spacing w:after="120"/>
        <w:ind w:left="2080"/>
        <w:rPr>
          <w:bCs/>
          <w:lang w:val="en-GB"/>
        </w:rPr>
      </w:pPr>
      <w:r w:rsidRPr="00E73CEF">
        <w:rPr>
          <w:bCs/>
          <w:lang w:val="en-GB"/>
        </w:rPr>
        <w:t>Option 1a: The delay is</w:t>
      </w:r>
    </w:p>
    <w:p w14:paraId="797E8327" w14:textId="77777777" w:rsidR="00E73CEF" w:rsidRPr="00E73CEF" w:rsidRDefault="00E73CEF" w:rsidP="00E73CEF">
      <w:pPr>
        <w:numPr>
          <w:ilvl w:val="2"/>
          <w:numId w:val="8"/>
        </w:numPr>
        <w:spacing w:after="120"/>
        <w:ind w:left="2840"/>
        <w:rPr>
          <w:b/>
          <w:u w:val="single"/>
        </w:rPr>
      </w:pPr>
      <w:r w:rsidRPr="00E73CEF">
        <w:rPr>
          <w:bCs/>
          <w:iCs/>
        </w:rPr>
        <w:t xml:space="preserve"> </w:t>
      </w:r>
      <w:proofErr w:type="spellStart"/>
      <w:r w:rsidRPr="00E73CEF">
        <w:rPr>
          <w:bCs/>
          <w:iCs/>
        </w:rPr>
        <w:t>T</w:t>
      </w:r>
      <w:r w:rsidRPr="00E73CEF">
        <w:rPr>
          <w:bCs/>
          <w:iCs/>
          <w:vertAlign w:val="subscript"/>
        </w:rPr>
        <w:t>FirstSSB</w:t>
      </w:r>
      <w:proofErr w:type="spellEnd"/>
      <w:r w:rsidRPr="00E73CEF">
        <w:rPr>
          <w:bCs/>
          <w:iCs/>
        </w:rPr>
        <w:t xml:space="preserve"> + 39*T</w:t>
      </w:r>
      <w:r w:rsidRPr="00E73CEF">
        <w:rPr>
          <w:bCs/>
          <w:iCs/>
          <w:vertAlign w:val="subscript"/>
        </w:rPr>
        <w:t>SSB</w:t>
      </w:r>
    </w:p>
    <w:p w14:paraId="057A5C31" w14:textId="36F52BEC" w:rsidR="00E73CEF" w:rsidRPr="00E73CEF" w:rsidRDefault="00E73CEF" w:rsidP="00E73CEF">
      <w:pPr>
        <w:numPr>
          <w:ilvl w:val="1"/>
          <w:numId w:val="3"/>
        </w:numPr>
        <w:spacing w:after="120"/>
        <w:ind w:left="2080"/>
        <w:rPr>
          <w:bCs/>
          <w:lang w:val="en-GB"/>
        </w:rPr>
      </w:pPr>
      <w:r w:rsidRPr="00E73CEF">
        <w:rPr>
          <w:bCs/>
          <w:lang w:val="en-GB"/>
        </w:rPr>
        <w:t xml:space="preserve">Option 2: </w:t>
      </w:r>
    </w:p>
    <w:p w14:paraId="422F825E" w14:textId="77777777" w:rsidR="00E73CEF" w:rsidRPr="00E73CEF" w:rsidRDefault="00E73CEF" w:rsidP="00E73CEF">
      <w:pPr>
        <w:numPr>
          <w:ilvl w:val="2"/>
          <w:numId w:val="8"/>
        </w:numPr>
        <w:spacing w:after="120"/>
        <w:ind w:left="2840"/>
        <w:rPr>
          <w:bCs/>
          <w:lang w:val="en-GB"/>
        </w:rPr>
      </w:pPr>
      <w:r w:rsidRPr="00E73CEF">
        <w:rPr>
          <w:lang w:val="en-GB"/>
        </w:rPr>
        <w:t>T</w:t>
      </w:r>
      <w:r w:rsidRPr="00E73CEF">
        <w:rPr>
          <w:vertAlign w:val="subscript"/>
          <w:lang w:val="en-GB"/>
        </w:rPr>
        <w:t>L1-RSRP_SSB</w:t>
      </w:r>
      <w:r w:rsidRPr="00E73CEF">
        <w:rPr>
          <w:lang w:val="fr-FR"/>
        </w:rPr>
        <w:t xml:space="preserve"> as (M*</w:t>
      </w:r>
      <w:proofErr w:type="gramStart"/>
      <w:r w:rsidRPr="00E73CEF">
        <w:rPr>
          <w:lang w:val="fr-FR"/>
        </w:rPr>
        <w:t>P)*</w:t>
      </w:r>
      <w:proofErr w:type="gramEnd"/>
      <w:r w:rsidRPr="00E73CEF">
        <w:rPr>
          <w:lang w:val="fr-FR"/>
        </w:rPr>
        <w:t>T</w:t>
      </w:r>
      <w:r w:rsidRPr="00E73CEF">
        <w:rPr>
          <w:vertAlign w:val="subscript"/>
          <w:lang w:val="fr-FR"/>
        </w:rPr>
        <w:t>SSB</w:t>
      </w:r>
    </w:p>
    <w:p w14:paraId="33A91D53" w14:textId="5D81F8C4" w:rsidR="00E73CEF" w:rsidRPr="00E73CEF" w:rsidRDefault="00E73CEF" w:rsidP="00E73CEF">
      <w:pPr>
        <w:numPr>
          <w:ilvl w:val="1"/>
          <w:numId w:val="3"/>
        </w:numPr>
        <w:spacing w:after="120"/>
        <w:ind w:left="2080"/>
        <w:rPr>
          <w:bCs/>
          <w:lang w:val="en-GB"/>
        </w:rPr>
      </w:pPr>
      <w:r w:rsidRPr="00E73CEF">
        <w:rPr>
          <w:bCs/>
          <w:lang w:val="en-GB"/>
        </w:rPr>
        <w:lastRenderedPageBreak/>
        <w:t>Option 3: Define generic requirement</w:t>
      </w:r>
    </w:p>
    <w:p w14:paraId="79D6D66F" w14:textId="77777777" w:rsidR="00E73CEF" w:rsidRPr="00E73CEF" w:rsidRDefault="00E73CEF" w:rsidP="00E73CEF">
      <w:pPr>
        <w:numPr>
          <w:ilvl w:val="1"/>
          <w:numId w:val="3"/>
        </w:numPr>
        <w:spacing w:after="120"/>
        <w:ind w:left="2080"/>
        <w:rPr>
          <w:bCs/>
          <w:lang w:val="en-GB"/>
        </w:rPr>
      </w:pPr>
      <w:r w:rsidRPr="00E73CEF">
        <w:rPr>
          <w:bCs/>
          <w:lang w:val="en-GB"/>
        </w:rPr>
        <w:t>Option 4: Further clarification is needed</w:t>
      </w:r>
    </w:p>
    <w:p w14:paraId="2502301B" w14:textId="26BCB2C8" w:rsidR="00E73CEF" w:rsidRDefault="00E73CEF" w:rsidP="00013E10">
      <w:pPr>
        <w:spacing w:after="120"/>
        <w:rPr>
          <w:lang w:val="en-GB"/>
        </w:rPr>
      </w:pPr>
    </w:p>
    <w:p w14:paraId="30236CD6" w14:textId="61AC252C" w:rsidR="003B1001" w:rsidRDefault="003B1001" w:rsidP="00013E10">
      <w:pPr>
        <w:spacing w:after="120"/>
        <w:rPr>
          <w:lang w:val="en-GB"/>
        </w:rPr>
      </w:pPr>
      <w:r>
        <w:rPr>
          <w:lang w:val="en-GB"/>
        </w:rPr>
        <w:t xml:space="preserve">In case the PL-RS in or associated with the UL TCI state is SSB and the PL-RS is not maintained, additional time for PL-RS measurement is needed. In FR2 all SSB based measurements account for Rx beam sweeping time, so the PL-RS measurement in FR2 if based on SSB should also account for Rx beam sweep time. </w:t>
      </w:r>
    </w:p>
    <w:p w14:paraId="241AFA81" w14:textId="0AB16A2F" w:rsidR="00501367" w:rsidRDefault="00501367" w:rsidP="00013E10">
      <w:pPr>
        <w:spacing w:after="120"/>
        <w:rPr>
          <w:lang w:val="en-GB"/>
        </w:rPr>
      </w:pPr>
      <w:r>
        <w:rPr>
          <w:lang w:val="en-GB"/>
        </w:rPr>
        <w:t xml:space="preserve">Hence, for MAC-CE based UL TCI state switch in FR2, when PL-RS for UL TCI is SSB the </w:t>
      </w:r>
      <w:r w:rsidR="0028702C">
        <w:rPr>
          <w:lang w:val="en-GB"/>
        </w:rPr>
        <w:t>switching delay should be defined as:</w:t>
      </w:r>
    </w:p>
    <w:p w14:paraId="4DE27F23" w14:textId="300C18F1" w:rsidR="0028702C" w:rsidRDefault="0028702C" w:rsidP="0028702C">
      <w:pPr>
        <w:spacing w:after="120"/>
        <w:ind w:firstLine="720"/>
        <w:rPr>
          <w:lang w:val="en-GB"/>
        </w:rPr>
      </w:pPr>
      <w:r w:rsidRPr="00E73CEF">
        <w:rPr>
          <w:bCs/>
          <w:iCs/>
        </w:rPr>
        <w:t>T</w:t>
      </w:r>
      <w:r w:rsidRPr="00E73CEF">
        <w:rPr>
          <w:bCs/>
          <w:iCs/>
          <w:vertAlign w:val="subscript"/>
        </w:rPr>
        <w:t>HARQ</w:t>
      </w:r>
      <w:r w:rsidRPr="00E73CEF">
        <w:rPr>
          <w:bCs/>
          <w:iCs/>
        </w:rPr>
        <w:t xml:space="preserve"> + 3ms + NM</w:t>
      </w:r>
      <w:proofErr w:type="gramStart"/>
      <w:r w:rsidRPr="00E73CEF">
        <w:rPr>
          <w:bCs/>
          <w:iCs/>
        </w:rPr>
        <w:t>*(</w:t>
      </w:r>
      <w:r w:rsidRPr="0028702C">
        <w:rPr>
          <w:bCs/>
          <w:iCs/>
        </w:rPr>
        <w:t xml:space="preserve"> </w:t>
      </w:r>
      <w:proofErr w:type="spellStart"/>
      <w:r w:rsidRPr="00E73CEF">
        <w:rPr>
          <w:bCs/>
          <w:iCs/>
        </w:rPr>
        <w:t>T</w:t>
      </w:r>
      <w:r w:rsidRPr="00E73CEF">
        <w:rPr>
          <w:bCs/>
          <w:iCs/>
          <w:vertAlign w:val="subscript"/>
        </w:rPr>
        <w:t>FirstSSB</w:t>
      </w:r>
      <w:proofErr w:type="spellEnd"/>
      <w:proofErr w:type="gramEnd"/>
      <w:r w:rsidRPr="00E73CEF">
        <w:rPr>
          <w:bCs/>
          <w:iCs/>
        </w:rPr>
        <w:t xml:space="preserve"> </w:t>
      </w:r>
      <w:r>
        <w:rPr>
          <w:bCs/>
          <w:iCs/>
        </w:rPr>
        <w:t xml:space="preserve"> + 39*</w:t>
      </w:r>
      <w:r w:rsidRPr="00E73CEF">
        <w:rPr>
          <w:bCs/>
          <w:iCs/>
        </w:rPr>
        <w:t>T</w:t>
      </w:r>
      <w:r w:rsidRPr="00E73CEF">
        <w:rPr>
          <w:bCs/>
          <w:iCs/>
          <w:vertAlign w:val="subscript"/>
        </w:rPr>
        <w:t>SSB</w:t>
      </w:r>
      <w:r w:rsidRPr="00E73CEF">
        <w:rPr>
          <w:bCs/>
          <w:iCs/>
        </w:rPr>
        <w:t xml:space="preserve"> + 2ms)</w:t>
      </w:r>
    </w:p>
    <w:p w14:paraId="11C622E6" w14:textId="77777777" w:rsidR="003B1001" w:rsidRDefault="003B1001" w:rsidP="00013E10">
      <w:pPr>
        <w:spacing w:after="120"/>
        <w:rPr>
          <w:lang w:val="en-GB"/>
        </w:rPr>
      </w:pPr>
    </w:p>
    <w:p w14:paraId="7D39D0B0" w14:textId="2D183BE8" w:rsidR="00DC5D83" w:rsidRPr="00DC5D83" w:rsidRDefault="008E2F20" w:rsidP="00DC5D83">
      <w:pPr>
        <w:spacing w:after="120"/>
        <w:rPr>
          <w:b/>
          <w:lang w:val="en-GB"/>
        </w:rPr>
      </w:pPr>
      <w:r w:rsidRPr="008E2F20">
        <w:rPr>
          <w:b/>
          <w:bCs/>
          <w:lang w:val="en-GB"/>
        </w:rPr>
        <w:t>Proposal #2: When PL-RS of target TCI state is SSB, in FR2 the time for PL-RS measurement shall also include Rx beam sweeping time</w:t>
      </w:r>
      <w:r w:rsidR="00DC5D83">
        <w:rPr>
          <w:b/>
          <w:bCs/>
          <w:lang w:val="en-GB"/>
        </w:rPr>
        <w:t xml:space="preserve">. Define the MAC-CE based TCI state switching delay as: </w:t>
      </w:r>
      <w:r w:rsidR="00DC5D83" w:rsidRPr="00E73CEF">
        <w:rPr>
          <w:b/>
          <w:iCs/>
        </w:rPr>
        <w:t>T</w:t>
      </w:r>
      <w:r w:rsidR="00DC5D83" w:rsidRPr="00E73CEF">
        <w:rPr>
          <w:b/>
          <w:iCs/>
          <w:vertAlign w:val="subscript"/>
        </w:rPr>
        <w:t>HARQ</w:t>
      </w:r>
      <w:r w:rsidR="00DC5D83" w:rsidRPr="00E73CEF">
        <w:rPr>
          <w:b/>
          <w:iCs/>
        </w:rPr>
        <w:t xml:space="preserve"> + 3ms + NM</w:t>
      </w:r>
      <w:proofErr w:type="gramStart"/>
      <w:r w:rsidR="00DC5D83" w:rsidRPr="00E73CEF">
        <w:rPr>
          <w:b/>
          <w:iCs/>
        </w:rPr>
        <w:t>*(</w:t>
      </w:r>
      <w:r w:rsidR="00DC5D83" w:rsidRPr="00DC5D83">
        <w:rPr>
          <w:b/>
          <w:iCs/>
        </w:rPr>
        <w:t xml:space="preserve"> </w:t>
      </w:r>
      <w:proofErr w:type="spellStart"/>
      <w:r w:rsidR="00DC5D83" w:rsidRPr="00E73CEF">
        <w:rPr>
          <w:b/>
          <w:iCs/>
        </w:rPr>
        <w:t>T</w:t>
      </w:r>
      <w:r w:rsidR="00DC5D83" w:rsidRPr="00E73CEF">
        <w:rPr>
          <w:b/>
          <w:iCs/>
          <w:vertAlign w:val="subscript"/>
        </w:rPr>
        <w:t>FirstSSB</w:t>
      </w:r>
      <w:proofErr w:type="spellEnd"/>
      <w:proofErr w:type="gramEnd"/>
      <w:r w:rsidR="00DC5D83" w:rsidRPr="00E73CEF">
        <w:rPr>
          <w:b/>
          <w:iCs/>
        </w:rPr>
        <w:t xml:space="preserve"> </w:t>
      </w:r>
      <w:r w:rsidR="00DC5D83" w:rsidRPr="00DC5D83">
        <w:rPr>
          <w:b/>
          <w:iCs/>
        </w:rPr>
        <w:t xml:space="preserve"> + 39*</w:t>
      </w:r>
      <w:r w:rsidR="00DC5D83" w:rsidRPr="00E73CEF">
        <w:rPr>
          <w:b/>
          <w:iCs/>
        </w:rPr>
        <w:t>T</w:t>
      </w:r>
      <w:r w:rsidR="00DC5D83" w:rsidRPr="00E73CEF">
        <w:rPr>
          <w:b/>
          <w:iCs/>
          <w:vertAlign w:val="subscript"/>
        </w:rPr>
        <w:t>SSB</w:t>
      </w:r>
      <w:r w:rsidR="00DC5D83" w:rsidRPr="00E73CEF">
        <w:rPr>
          <w:b/>
          <w:iCs/>
        </w:rPr>
        <w:t xml:space="preserve"> + 2ms)</w:t>
      </w:r>
    </w:p>
    <w:p w14:paraId="6409AB9E" w14:textId="2E07EC52" w:rsidR="008E2F20" w:rsidRPr="008E2F20" w:rsidRDefault="008E2F20" w:rsidP="00013E10">
      <w:pPr>
        <w:spacing w:after="120"/>
        <w:rPr>
          <w:b/>
          <w:bCs/>
          <w:lang w:val="en-GB"/>
        </w:rPr>
      </w:pPr>
    </w:p>
    <w:p w14:paraId="51262E93" w14:textId="2771BF37" w:rsidR="00013E10" w:rsidRPr="008E2F20" w:rsidRDefault="00013E10" w:rsidP="00013E10">
      <w:pPr>
        <w:spacing w:after="120"/>
        <w:rPr>
          <w:b/>
          <w:bCs/>
          <w:u w:val="single"/>
          <w:lang w:val="en-GB"/>
        </w:rPr>
      </w:pPr>
      <w:r w:rsidRPr="008E2F20">
        <w:rPr>
          <w:b/>
          <w:bCs/>
          <w:u w:val="single"/>
          <w:lang w:val="en-GB"/>
        </w:rPr>
        <w:t>Requirements for UL active TCI state list update</w:t>
      </w:r>
    </w:p>
    <w:p w14:paraId="4D2377CF" w14:textId="65D70A0B" w:rsidR="00013E10" w:rsidRDefault="00A470DD" w:rsidP="00013E10">
      <w:pPr>
        <w:spacing w:after="120"/>
        <w:rPr>
          <w:lang w:val="en-GB"/>
        </w:rPr>
      </w:pPr>
      <w:r>
        <w:rPr>
          <w:lang w:val="en-GB"/>
        </w:rPr>
        <w:t xml:space="preserve">The </w:t>
      </w:r>
      <w:r w:rsidR="002A7624">
        <w:rPr>
          <w:lang w:val="en-GB"/>
        </w:rPr>
        <w:t xml:space="preserve">UE receives MAC-CE for </w:t>
      </w:r>
      <w:r>
        <w:rPr>
          <w:lang w:val="en-GB"/>
        </w:rPr>
        <w:t xml:space="preserve">TCI states </w:t>
      </w:r>
      <w:r w:rsidR="002A7624">
        <w:rPr>
          <w:lang w:val="en-GB"/>
        </w:rPr>
        <w:t>to be</w:t>
      </w:r>
      <w:r>
        <w:rPr>
          <w:lang w:val="en-GB"/>
        </w:rPr>
        <w:t xml:space="preserve"> activated</w:t>
      </w:r>
      <w:r w:rsidR="002A7624">
        <w:rPr>
          <w:lang w:val="en-GB"/>
        </w:rPr>
        <w:t>. Once the TCI states are activated in UL TCI state list, the UE can receive a DCI based indication for any of the activated TCI states to transmit on the UL with that TCI. Hence, the delay should be defined for when the UE is able to receive PDCCH for DCI based indication.</w:t>
      </w:r>
      <w:r w:rsidR="009D0B4B">
        <w:rPr>
          <w:lang w:val="en-GB"/>
        </w:rPr>
        <w:t xml:space="preserve"> The DCI can be with or without DL assignment.</w:t>
      </w:r>
    </w:p>
    <w:p w14:paraId="301F5B21" w14:textId="77777777" w:rsidR="009D0B4B" w:rsidRDefault="002A7624" w:rsidP="00013E10">
      <w:pPr>
        <w:spacing w:after="120"/>
        <w:rPr>
          <w:i/>
          <w:iCs/>
          <w:lang w:val="en-GB"/>
        </w:rPr>
      </w:pPr>
      <w:r>
        <w:rPr>
          <w:b/>
          <w:bCs/>
          <w:i/>
          <w:iCs/>
          <w:lang w:val="en-GB"/>
        </w:rPr>
        <w:t xml:space="preserve">Observation#1: </w:t>
      </w:r>
      <w:r w:rsidR="009D0B4B">
        <w:rPr>
          <w:i/>
          <w:iCs/>
          <w:lang w:val="en-GB"/>
        </w:rPr>
        <w:t xml:space="preserve">After the TCI is activated in UL (or DL) TCI state list, the UE can receive DCI with TCI indication for the activate TCI state. </w:t>
      </w:r>
    </w:p>
    <w:p w14:paraId="36CDA1EB" w14:textId="684B9CAF" w:rsidR="002A7624" w:rsidRPr="009D0B4B" w:rsidRDefault="009D0B4B" w:rsidP="00013E10">
      <w:pPr>
        <w:spacing w:after="120"/>
        <w:rPr>
          <w:b/>
          <w:bCs/>
          <w:lang w:val="en-GB"/>
        </w:rPr>
      </w:pPr>
      <w:r>
        <w:rPr>
          <w:b/>
          <w:bCs/>
          <w:lang w:val="en-GB"/>
        </w:rPr>
        <w:t>Proposal #3: The active TCI state list update delay specifies the time for UE to be able to receive DCI</w:t>
      </w:r>
      <w:r w:rsidR="002A7624">
        <w:rPr>
          <w:i/>
          <w:iCs/>
          <w:lang w:val="en-GB"/>
        </w:rPr>
        <w:t xml:space="preserve"> </w:t>
      </w:r>
      <w:r>
        <w:rPr>
          <w:b/>
          <w:bCs/>
          <w:lang w:val="en-GB"/>
        </w:rPr>
        <w:t>for TCI indication.</w:t>
      </w:r>
    </w:p>
    <w:p w14:paraId="3B6C444E" w14:textId="654657AA" w:rsidR="00766F00" w:rsidRPr="00B749F7" w:rsidRDefault="007635A9" w:rsidP="00766F00">
      <w:pPr>
        <w:pStyle w:val="Heading2"/>
      </w:pPr>
      <w:r>
        <w:t xml:space="preserve">Common TCI </w:t>
      </w:r>
    </w:p>
    <w:p w14:paraId="14F86EAA" w14:textId="08E90B03" w:rsidR="004338CB" w:rsidRDefault="0056633E" w:rsidP="005B410D">
      <w:pPr>
        <w:spacing w:after="120"/>
        <w:rPr>
          <w:rFonts w:eastAsia="SimSun"/>
          <w:sz w:val="20"/>
          <w:szCs w:val="20"/>
          <w:lang w:val="en-GB" w:eastAsia="en-GB"/>
        </w:rPr>
      </w:pPr>
      <w:r>
        <w:rPr>
          <w:rFonts w:eastAsia="SimSun"/>
          <w:sz w:val="20"/>
          <w:szCs w:val="20"/>
          <w:lang w:val="en-GB" w:eastAsia="en-GB"/>
        </w:rPr>
        <w:t>In RAN4#102-e there was discussion on known condition for CA scenario:</w:t>
      </w:r>
    </w:p>
    <w:p w14:paraId="54D3986F" w14:textId="77777777" w:rsidR="0056633E" w:rsidRPr="0056633E" w:rsidRDefault="0056633E" w:rsidP="0056633E">
      <w:pPr>
        <w:spacing w:after="120"/>
        <w:ind w:left="500"/>
        <w:rPr>
          <w:rFonts w:eastAsia="SimSun"/>
          <w:bCs/>
          <w:sz w:val="20"/>
          <w:szCs w:val="20"/>
          <w:u w:val="single"/>
          <w:lang w:val="en-GB" w:eastAsia="en-GB"/>
        </w:rPr>
      </w:pPr>
      <w:r w:rsidRPr="0056633E">
        <w:rPr>
          <w:rFonts w:eastAsia="SimSun"/>
          <w:bCs/>
          <w:sz w:val="20"/>
          <w:szCs w:val="20"/>
          <w:u w:val="single"/>
          <w:lang w:val="en-GB" w:eastAsia="en-GB"/>
        </w:rPr>
        <w:t>Issue 1-4-1 Known condition in CA scenario</w:t>
      </w:r>
    </w:p>
    <w:p w14:paraId="548BCC24" w14:textId="77777777" w:rsidR="0056633E" w:rsidRPr="0056633E" w:rsidRDefault="0056633E" w:rsidP="0056633E">
      <w:pPr>
        <w:numPr>
          <w:ilvl w:val="0"/>
          <w:numId w:val="3"/>
        </w:numPr>
        <w:spacing w:after="120"/>
        <w:ind w:left="1360"/>
        <w:rPr>
          <w:rFonts w:eastAsia="SimSun"/>
          <w:sz w:val="20"/>
          <w:szCs w:val="20"/>
          <w:lang w:val="sv-SE" w:eastAsia="en-GB"/>
        </w:rPr>
      </w:pPr>
      <w:proofErr w:type="spellStart"/>
      <w:r w:rsidRPr="0056633E">
        <w:rPr>
          <w:rFonts w:eastAsia="SimSun" w:hint="eastAsia"/>
          <w:sz w:val="20"/>
          <w:szCs w:val="20"/>
          <w:lang w:val="sv-SE" w:eastAsia="en-GB"/>
        </w:rPr>
        <w:t>Proposal</w:t>
      </w:r>
      <w:r w:rsidRPr="0056633E">
        <w:rPr>
          <w:rFonts w:eastAsia="SimSun"/>
          <w:sz w:val="20"/>
          <w:szCs w:val="20"/>
          <w:lang w:val="sv-SE" w:eastAsia="en-GB"/>
        </w:rPr>
        <w:t>s</w:t>
      </w:r>
      <w:proofErr w:type="spellEnd"/>
    </w:p>
    <w:p w14:paraId="1223578C" w14:textId="77777777" w:rsidR="0056633E" w:rsidRPr="0056633E" w:rsidRDefault="0056633E" w:rsidP="0056633E">
      <w:pPr>
        <w:numPr>
          <w:ilvl w:val="1"/>
          <w:numId w:val="3"/>
        </w:numPr>
        <w:spacing w:after="120"/>
        <w:ind w:left="2080"/>
        <w:rPr>
          <w:rFonts w:eastAsia="SimSun"/>
          <w:sz w:val="20"/>
          <w:szCs w:val="20"/>
          <w:lang w:val="sv-SE" w:eastAsia="en-GB"/>
        </w:rPr>
      </w:pPr>
      <w:r w:rsidRPr="0056633E">
        <w:rPr>
          <w:rFonts w:eastAsia="SimSun"/>
          <w:sz w:val="20"/>
          <w:szCs w:val="20"/>
          <w:lang w:val="sv-SE" w:eastAsia="en-GB"/>
        </w:rPr>
        <w:t>Option 1(ZTE):</w:t>
      </w:r>
    </w:p>
    <w:p w14:paraId="70E260DC" w14:textId="77777777" w:rsidR="0056633E" w:rsidRPr="0056633E" w:rsidRDefault="0056633E" w:rsidP="0056633E">
      <w:pPr>
        <w:numPr>
          <w:ilvl w:val="2"/>
          <w:numId w:val="3"/>
        </w:numPr>
        <w:spacing w:after="120"/>
        <w:ind w:left="2800"/>
        <w:rPr>
          <w:rFonts w:eastAsia="SimSun"/>
          <w:sz w:val="20"/>
          <w:szCs w:val="20"/>
          <w:lang w:val="sv-SE" w:eastAsia="en-GB"/>
        </w:rPr>
      </w:pPr>
      <w:proofErr w:type="spellStart"/>
      <w:r w:rsidRPr="0056633E">
        <w:rPr>
          <w:rFonts w:eastAsia="SimSun"/>
          <w:sz w:val="20"/>
          <w:szCs w:val="20"/>
          <w:lang w:val="sv-SE" w:eastAsia="en-GB"/>
        </w:rPr>
        <w:t>Reuse</w:t>
      </w:r>
      <w:proofErr w:type="spellEnd"/>
      <w:r w:rsidRPr="0056633E">
        <w:rPr>
          <w:rFonts w:eastAsia="SimSun"/>
          <w:sz w:val="20"/>
          <w:szCs w:val="20"/>
          <w:lang w:val="sv-SE" w:eastAsia="en-GB"/>
        </w:rPr>
        <w:t xml:space="preserve"> the </w:t>
      </w:r>
      <w:proofErr w:type="spellStart"/>
      <w:r w:rsidRPr="0056633E">
        <w:rPr>
          <w:rFonts w:eastAsia="SimSun"/>
          <w:sz w:val="20"/>
          <w:szCs w:val="20"/>
          <w:lang w:val="sv-SE" w:eastAsia="en-GB"/>
        </w:rPr>
        <w:t>existing</w:t>
      </w:r>
      <w:proofErr w:type="spellEnd"/>
      <w:r w:rsidRPr="0056633E">
        <w:rPr>
          <w:rFonts w:eastAsia="SimSun"/>
          <w:sz w:val="20"/>
          <w:szCs w:val="20"/>
          <w:lang w:val="sv-SE" w:eastAsia="en-GB"/>
        </w:rPr>
        <w:t xml:space="preserve"> </w:t>
      </w:r>
      <w:proofErr w:type="spellStart"/>
      <w:r w:rsidRPr="0056633E">
        <w:rPr>
          <w:rFonts w:eastAsia="SimSun"/>
          <w:sz w:val="20"/>
          <w:szCs w:val="20"/>
          <w:lang w:val="sv-SE" w:eastAsia="en-GB"/>
        </w:rPr>
        <w:t>known</w:t>
      </w:r>
      <w:proofErr w:type="spellEnd"/>
      <w:r w:rsidRPr="0056633E">
        <w:rPr>
          <w:rFonts w:eastAsia="SimSun"/>
          <w:sz w:val="20"/>
          <w:szCs w:val="20"/>
          <w:lang w:val="sv-SE" w:eastAsia="en-GB"/>
        </w:rPr>
        <w:t xml:space="preserve"> </w:t>
      </w:r>
      <w:proofErr w:type="spellStart"/>
      <w:r w:rsidRPr="0056633E">
        <w:rPr>
          <w:rFonts w:eastAsia="SimSun"/>
          <w:sz w:val="20"/>
          <w:szCs w:val="20"/>
          <w:lang w:val="sv-SE" w:eastAsia="en-GB"/>
        </w:rPr>
        <w:t>condition</w:t>
      </w:r>
      <w:proofErr w:type="spellEnd"/>
      <w:r w:rsidRPr="0056633E">
        <w:rPr>
          <w:rFonts w:eastAsia="SimSun"/>
          <w:sz w:val="20"/>
          <w:szCs w:val="20"/>
          <w:lang w:val="sv-SE" w:eastAsia="en-GB"/>
        </w:rPr>
        <w:t xml:space="preserve">. </w:t>
      </w:r>
      <w:proofErr w:type="spellStart"/>
      <w:r w:rsidRPr="0056633E">
        <w:rPr>
          <w:rFonts w:eastAsia="SimSun" w:hint="eastAsia"/>
          <w:sz w:val="20"/>
          <w:szCs w:val="20"/>
          <w:lang w:val="sv-SE" w:eastAsia="en-GB"/>
        </w:rPr>
        <w:t>Once</w:t>
      </w:r>
      <w:proofErr w:type="spellEnd"/>
      <w:r w:rsidRPr="0056633E">
        <w:rPr>
          <w:rFonts w:eastAsia="SimSun" w:hint="eastAsia"/>
          <w:sz w:val="20"/>
          <w:szCs w:val="20"/>
          <w:lang w:val="sv-SE" w:eastAsia="en-GB"/>
        </w:rPr>
        <w:t xml:space="preserve"> the source RS </w:t>
      </w:r>
      <w:proofErr w:type="spellStart"/>
      <w:r w:rsidRPr="0056633E">
        <w:rPr>
          <w:rFonts w:eastAsia="SimSun" w:hint="eastAsia"/>
          <w:sz w:val="20"/>
          <w:szCs w:val="20"/>
          <w:lang w:val="sv-SE" w:eastAsia="en-GB"/>
        </w:rPr>
        <w:t>of</w:t>
      </w:r>
      <w:proofErr w:type="spellEnd"/>
      <w:r w:rsidRPr="0056633E">
        <w:rPr>
          <w:rFonts w:eastAsia="SimSun" w:hint="eastAsia"/>
          <w:sz w:val="20"/>
          <w:szCs w:val="20"/>
          <w:lang w:val="sv-SE" w:eastAsia="en-GB"/>
        </w:rPr>
        <w:t xml:space="preserve"> </w:t>
      </w:r>
      <w:proofErr w:type="spellStart"/>
      <w:r w:rsidRPr="0056633E">
        <w:rPr>
          <w:rFonts w:eastAsia="SimSun" w:hint="eastAsia"/>
          <w:sz w:val="20"/>
          <w:szCs w:val="20"/>
          <w:lang w:val="sv-SE" w:eastAsia="en-GB"/>
        </w:rPr>
        <w:t>target</w:t>
      </w:r>
      <w:proofErr w:type="spellEnd"/>
      <w:r w:rsidRPr="0056633E">
        <w:rPr>
          <w:rFonts w:eastAsia="SimSun" w:hint="eastAsia"/>
          <w:sz w:val="20"/>
          <w:szCs w:val="20"/>
          <w:lang w:val="sv-SE" w:eastAsia="en-GB"/>
        </w:rPr>
        <w:t xml:space="preserve"> TCI </w:t>
      </w:r>
      <w:proofErr w:type="spellStart"/>
      <w:r w:rsidRPr="0056633E">
        <w:rPr>
          <w:rFonts w:eastAsia="SimSun" w:hint="eastAsia"/>
          <w:sz w:val="20"/>
          <w:szCs w:val="20"/>
          <w:lang w:val="sv-SE" w:eastAsia="en-GB"/>
        </w:rPr>
        <w:t>state</w:t>
      </w:r>
      <w:proofErr w:type="spellEnd"/>
      <w:r w:rsidRPr="0056633E">
        <w:rPr>
          <w:rFonts w:eastAsia="SimSun" w:hint="eastAsia"/>
          <w:sz w:val="20"/>
          <w:szCs w:val="20"/>
          <w:lang w:val="sv-SE" w:eastAsia="en-GB"/>
        </w:rPr>
        <w:t xml:space="preserve"> is </w:t>
      </w:r>
      <w:proofErr w:type="spellStart"/>
      <w:r w:rsidRPr="0056633E">
        <w:rPr>
          <w:rFonts w:eastAsia="SimSun" w:hint="eastAsia"/>
          <w:sz w:val="20"/>
          <w:szCs w:val="20"/>
          <w:lang w:val="sv-SE" w:eastAsia="en-GB"/>
        </w:rPr>
        <w:t>known</w:t>
      </w:r>
      <w:proofErr w:type="spellEnd"/>
      <w:r w:rsidRPr="0056633E">
        <w:rPr>
          <w:rFonts w:eastAsia="SimSun" w:hint="eastAsia"/>
          <w:sz w:val="20"/>
          <w:szCs w:val="20"/>
          <w:lang w:val="sv-SE" w:eastAsia="en-GB"/>
        </w:rPr>
        <w:t xml:space="preserve"> for </w:t>
      </w:r>
      <w:proofErr w:type="spellStart"/>
      <w:r w:rsidRPr="0056633E">
        <w:rPr>
          <w:rFonts w:eastAsia="SimSun" w:hint="eastAsia"/>
          <w:sz w:val="20"/>
          <w:szCs w:val="20"/>
          <w:lang w:val="sv-SE" w:eastAsia="en-GB"/>
        </w:rPr>
        <w:t>each</w:t>
      </w:r>
      <w:proofErr w:type="spellEnd"/>
      <w:r w:rsidRPr="0056633E">
        <w:rPr>
          <w:rFonts w:eastAsia="SimSun" w:hint="eastAsia"/>
          <w:sz w:val="20"/>
          <w:szCs w:val="20"/>
          <w:lang w:val="sv-SE" w:eastAsia="en-GB"/>
        </w:rPr>
        <w:t xml:space="preserve"> CC in the intra-band CC </w:t>
      </w:r>
      <w:proofErr w:type="spellStart"/>
      <w:r w:rsidRPr="0056633E">
        <w:rPr>
          <w:rFonts w:eastAsia="SimSun" w:hint="eastAsia"/>
          <w:sz w:val="20"/>
          <w:szCs w:val="20"/>
          <w:lang w:val="sv-SE" w:eastAsia="en-GB"/>
        </w:rPr>
        <w:t>group</w:t>
      </w:r>
      <w:proofErr w:type="spellEnd"/>
      <w:r w:rsidRPr="0056633E">
        <w:rPr>
          <w:rFonts w:eastAsia="SimSun" w:hint="eastAsia"/>
          <w:sz w:val="20"/>
          <w:szCs w:val="20"/>
          <w:lang w:val="sv-SE" w:eastAsia="en-GB"/>
        </w:rPr>
        <w:t xml:space="preserve">, </w:t>
      </w:r>
      <w:proofErr w:type="spellStart"/>
      <w:r w:rsidRPr="0056633E">
        <w:rPr>
          <w:rFonts w:eastAsia="SimSun" w:hint="eastAsia"/>
          <w:sz w:val="20"/>
          <w:szCs w:val="20"/>
          <w:lang w:val="sv-SE" w:eastAsia="en-GB"/>
        </w:rPr>
        <w:t>which</w:t>
      </w:r>
      <w:proofErr w:type="spellEnd"/>
      <w:r w:rsidRPr="0056633E">
        <w:rPr>
          <w:rFonts w:eastAsia="SimSun" w:hint="eastAsia"/>
          <w:sz w:val="20"/>
          <w:szCs w:val="20"/>
          <w:lang w:val="sv-SE" w:eastAsia="en-GB"/>
        </w:rPr>
        <w:t xml:space="preserve"> </w:t>
      </w:r>
      <w:proofErr w:type="spellStart"/>
      <w:r w:rsidRPr="0056633E">
        <w:rPr>
          <w:rFonts w:eastAsia="SimSun" w:hint="eastAsia"/>
          <w:sz w:val="20"/>
          <w:szCs w:val="20"/>
          <w:lang w:val="sv-SE" w:eastAsia="en-GB"/>
        </w:rPr>
        <w:t>means</w:t>
      </w:r>
      <w:proofErr w:type="spellEnd"/>
      <w:r w:rsidRPr="0056633E">
        <w:rPr>
          <w:rFonts w:eastAsia="SimSun" w:hint="eastAsia"/>
          <w:sz w:val="20"/>
          <w:szCs w:val="20"/>
          <w:lang w:val="sv-SE" w:eastAsia="en-GB"/>
        </w:rPr>
        <w:t xml:space="preserve"> the </w:t>
      </w:r>
      <w:proofErr w:type="spellStart"/>
      <w:r w:rsidRPr="0056633E">
        <w:rPr>
          <w:rFonts w:eastAsia="SimSun" w:hint="eastAsia"/>
          <w:sz w:val="20"/>
          <w:szCs w:val="20"/>
          <w:lang w:val="sv-SE" w:eastAsia="en-GB"/>
        </w:rPr>
        <w:t>known</w:t>
      </w:r>
      <w:proofErr w:type="spellEnd"/>
      <w:r w:rsidRPr="0056633E">
        <w:rPr>
          <w:rFonts w:eastAsia="SimSun" w:hint="eastAsia"/>
          <w:sz w:val="20"/>
          <w:szCs w:val="20"/>
          <w:lang w:val="sv-SE" w:eastAsia="en-GB"/>
        </w:rPr>
        <w:t xml:space="preserve"> </w:t>
      </w:r>
      <w:proofErr w:type="spellStart"/>
      <w:r w:rsidRPr="0056633E">
        <w:rPr>
          <w:rFonts w:eastAsia="SimSun" w:hint="eastAsia"/>
          <w:sz w:val="20"/>
          <w:szCs w:val="20"/>
          <w:lang w:val="sv-SE" w:eastAsia="en-GB"/>
        </w:rPr>
        <w:t>condition</w:t>
      </w:r>
      <w:proofErr w:type="spellEnd"/>
      <w:r w:rsidRPr="0056633E">
        <w:rPr>
          <w:rFonts w:eastAsia="SimSun" w:hint="eastAsia"/>
          <w:sz w:val="20"/>
          <w:szCs w:val="20"/>
          <w:lang w:val="sv-SE" w:eastAsia="en-GB"/>
        </w:rPr>
        <w:t xml:space="preserve"> is </w:t>
      </w:r>
      <w:proofErr w:type="spellStart"/>
      <w:r w:rsidRPr="0056633E">
        <w:rPr>
          <w:rFonts w:eastAsia="SimSun" w:hint="eastAsia"/>
          <w:sz w:val="20"/>
          <w:szCs w:val="20"/>
          <w:lang w:val="sv-SE" w:eastAsia="en-GB"/>
        </w:rPr>
        <w:t>satisfied</w:t>
      </w:r>
      <w:proofErr w:type="spellEnd"/>
      <w:r w:rsidRPr="0056633E">
        <w:rPr>
          <w:rFonts w:eastAsia="SimSun" w:hint="eastAsia"/>
          <w:sz w:val="20"/>
          <w:szCs w:val="20"/>
          <w:lang w:val="sv-SE" w:eastAsia="en-GB"/>
        </w:rPr>
        <w:t>.</w:t>
      </w:r>
    </w:p>
    <w:p w14:paraId="37AAD14E" w14:textId="77777777" w:rsidR="0056633E" w:rsidRPr="0056633E" w:rsidRDefault="0056633E" w:rsidP="0056633E">
      <w:pPr>
        <w:numPr>
          <w:ilvl w:val="1"/>
          <w:numId w:val="3"/>
        </w:numPr>
        <w:spacing w:after="120"/>
        <w:ind w:left="2080"/>
        <w:rPr>
          <w:rFonts w:eastAsia="SimSun"/>
          <w:sz w:val="20"/>
          <w:szCs w:val="20"/>
          <w:lang w:val="sv-SE" w:eastAsia="en-GB"/>
        </w:rPr>
      </w:pPr>
      <w:r w:rsidRPr="0056633E">
        <w:rPr>
          <w:rFonts w:eastAsia="SimSun"/>
          <w:sz w:val="20"/>
          <w:szCs w:val="20"/>
          <w:lang w:val="sv-SE" w:eastAsia="en-GB"/>
        </w:rPr>
        <w:t xml:space="preserve">Option 2 (Intel, Nokia, </w:t>
      </w:r>
      <w:proofErr w:type="spellStart"/>
      <w:r w:rsidRPr="0056633E">
        <w:rPr>
          <w:rFonts w:eastAsia="SimSun"/>
          <w:sz w:val="20"/>
          <w:szCs w:val="20"/>
          <w:lang w:val="sv-SE" w:eastAsia="en-GB"/>
        </w:rPr>
        <w:t>vivo</w:t>
      </w:r>
      <w:proofErr w:type="spellEnd"/>
      <w:r w:rsidRPr="0056633E">
        <w:rPr>
          <w:rFonts w:eastAsia="SimSun"/>
          <w:sz w:val="20"/>
          <w:szCs w:val="20"/>
          <w:lang w:val="sv-SE" w:eastAsia="en-GB"/>
        </w:rPr>
        <w:t>, Ericsson, Samsung, MTK, ZTE):</w:t>
      </w:r>
    </w:p>
    <w:p w14:paraId="2F2C8111" w14:textId="77777777" w:rsidR="0056633E" w:rsidRPr="0056633E" w:rsidRDefault="0056633E" w:rsidP="0056633E">
      <w:pPr>
        <w:numPr>
          <w:ilvl w:val="2"/>
          <w:numId w:val="3"/>
        </w:numPr>
        <w:spacing w:after="120"/>
        <w:ind w:left="2800"/>
        <w:rPr>
          <w:rFonts w:eastAsia="SimSun"/>
          <w:sz w:val="20"/>
          <w:szCs w:val="20"/>
          <w:lang w:val="sv-SE" w:eastAsia="en-GB"/>
        </w:rPr>
      </w:pPr>
      <w:r w:rsidRPr="0056633E">
        <w:rPr>
          <w:rFonts w:eastAsia="SimSun"/>
          <w:sz w:val="20"/>
          <w:szCs w:val="20"/>
          <w:lang w:val="sv-SE" w:eastAsia="en-GB"/>
        </w:rPr>
        <w:t xml:space="preserve">If the </w:t>
      </w:r>
      <w:proofErr w:type="spellStart"/>
      <w:r w:rsidRPr="0056633E">
        <w:rPr>
          <w:rFonts w:eastAsia="SimSun"/>
          <w:sz w:val="20"/>
          <w:szCs w:val="20"/>
          <w:lang w:val="sv-SE" w:eastAsia="en-GB"/>
        </w:rPr>
        <w:t>associated</w:t>
      </w:r>
      <w:proofErr w:type="spellEnd"/>
      <w:r w:rsidRPr="0056633E">
        <w:rPr>
          <w:rFonts w:eastAsia="SimSun"/>
          <w:sz w:val="20"/>
          <w:szCs w:val="20"/>
          <w:lang w:val="sv-SE" w:eastAsia="en-GB"/>
        </w:rPr>
        <w:t xml:space="preserve"> RS in common TCI </w:t>
      </w:r>
      <w:proofErr w:type="spellStart"/>
      <w:r w:rsidRPr="0056633E">
        <w:rPr>
          <w:rFonts w:eastAsia="SimSun"/>
          <w:sz w:val="20"/>
          <w:szCs w:val="20"/>
          <w:lang w:val="sv-SE" w:eastAsia="en-GB"/>
        </w:rPr>
        <w:t>state</w:t>
      </w:r>
      <w:proofErr w:type="spellEnd"/>
      <w:r w:rsidRPr="0056633E">
        <w:rPr>
          <w:rFonts w:eastAsia="SimSun"/>
          <w:sz w:val="20"/>
          <w:szCs w:val="20"/>
          <w:lang w:val="sv-SE" w:eastAsia="en-GB"/>
        </w:rPr>
        <w:t xml:space="preserve"> </w:t>
      </w:r>
      <w:proofErr w:type="spellStart"/>
      <w:r w:rsidRPr="0056633E">
        <w:rPr>
          <w:rFonts w:eastAsia="SimSun"/>
          <w:sz w:val="20"/>
          <w:szCs w:val="20"/>
          <w:lang w:val="sv-SE" w:eastAsia="en-GB"/>
        </w:rPr>
        <w:t>provides</w:t>
      </w:r>
      <w:proofErr w:type="spellEnd"/>
      <w:r w:rsidRPr="0056633E">
        <w:rPr>
          <w:rFonts w:eastAsia="SimSun"/>
          <w:sz w:val="20"/>
          <w:szCs w:val="20"/>
          <w:lang w:val="sv-SE" w:eastAsia="en-GB"/>
        </w:rPr>
        <w:t xml:space="preserve"> QCL-</w:t>
      </w:r>
      <w:proofErr w:type="spellStart"/>
      <w:r w:rsidRPr="0056633E">
        <w:rPr>
          <w:rFonts w:eastAsia="SimSun"/>
          <w:sz w:val="20"/>
          <w:szCs w:val="20"/>
          <w:lang w:val="sv-SE" w:eastAsia="en-GB"/>
        </w:rPr>
        <w:t>TypeD</w:t>
      </w:r>
      <w:proofErr w:type="spellEnd"/>
      <w:r w:rsidRPr="0056633E">
        <w:rPr>
          <w:rFonts w:eastAsia="SimSun"/>
          <w:sz w:val="20"/>
          <w:szCs w:val="20"/>
          <w:lang w:val="sv-SE" w:eastAsia="en-GB"/>
        </w:rPr>
        <w:t xml:space="preserve">, the </w:t>
      </w:r>
      <w:proofErr w:type="spellStart"/>
      <w:r w:rsidRPr="0056633E">
        <w:rPr>
          <w:rFonts w:eastAsia="SimSun"/>
          <w:sz w:val="20"/>
          <w:szCs w:val="20"/>
          <w:lang w:val="sv-SE" w:eastAsia="en-GB"/>
        </w:rPr>
        <w:t>known</w:t>
      </w:r>
      <w:proofErr w:type="spellEnd"/>
      <w:r w:rsidRPr="0056633E">
        <w:rPr>
          <w:rFonts w:eastAsia="SimSun"/>
          <w:sz w:val="20"/>
          <w:szCs w:val="20"/>
          <w:lang w:val="sv-SE" w:eastAsia="en-GB"/>
        </w:rPr>
        <w:t xml:space="preserve"> </w:t>
      </w:r>
      <w:proofErr w:type="spellStart"/>
      <w:r w:rsidRPr="0056633E">
        <w:rPr>
          <w:rFonts w:eastAsia="SimSun"/>
          <w:sz w:val="20"/>
          <w:szCs w:val="20"/>
          <w:lang w:val="sv-SE" w:eastAsia="en-GB"/>
        </w:rPr>
        <w:t>condition</w:t>
      </w:r>
      <w:proofErr w:type="spellEnd"/>
      <w:r w:rsidRPr="0056633E">
        <w:rPr>
          <w:rFonts w:eastAsia="SimSun"/>
          <w:sz w:val="20"/>
          <w:szCs w:val="20"/>
          <w:lang w:val="sv-SE" w:eastAsia="en-GB"/>
        </w:rPr>
        <w:t xml:space="preserve"> </w:t>
      </w:r>
      <w:proofErr w:type="spellStart"/>
      <w:r w:rsidRPr="0056633E">
        <w:rPr>
          <w:rFonts w:eastAsia="SimSun"/>
          <w:sz w:val="20"/>
          <w:szCs w:val="20"/>
          <w:lang w:val="sv-SE" w:eastAsia="en-GB"/>
        </w:rPr>
        <w:t>can</w:t>
      </w:r>
      <w:proofErr w:type="spellEnd"/>
      <w:r w:rsidRPr="0056633E">
        <w:rPr>
          <w:rFonts w:eastAsia="SimSun"/>
          <w:sz w:val="20"/>
          <w:szCs w:val="20"/>
          <w:lang w:val="sv-SE" w:eastAsia="en-GB"/>
        </w:rPr>
        <w:t xml:space="preserve"> </w:t>
      </w:r>
      <w:proofErr w:type="spellStart"/>
      <w:r w:rsidRPr="0056633E">
        <w:rPr>
          <w:rFonts w:eastAsia="SimSun"/>
          <w:sz w:val="20"/>
          <w:szCs w:val="20"/>
          <w:lang w:val="sv-SE" w:eastAsia="en-GB"/>
        </w:rPr>
        <w:t>only</w:t>
      </w:r>
      <w:proofErr w:type="spellEnd"/>
      <w:r w:rsidRPr="0056633E">
        <w:rPr>
          <w:rFonts w:eastAsia="SimSun"/>
          <w:sz w:val="20"/>
          <w:szCs w:val="20"/>
          <w:lang w:val="sv-SE" w:eastAsia="en-GB"/>
        </w:rPr>
        <w:t xml:space="preserve"> </w:t>
      </w:r>
      <w:proofErr w:type="spellStart"/>
      <w:r w:rsidRPr="0056633E">
        <w:rPr>
          <w:rFonts w:eastAsia="SimSun"/>
          <w:sz w:val="20"/>
          <w:szCs w:val="20"/>
          <w:lang w:val="sv-SE" w:eastAsia="en-GB"/>
        </w:rPr>
        <w:t>consider</w:t>
      </w:r>
      <w:proofErr w:type="spellEnd"/>
      <w:r w:rsidRPr="0056633E">
        <w:rPr>
          <w:rFonts w:eastAsia="SimSun"/>
          <w:sz w:val="20"/>
          <w:szCs w:val="20"/>
          <w:lang w:val="sv-SE" w:eastAsia="en-GB"/>
        </w:rPr>
        <w:t xml:space="preserve"> </w:t>
      </w:r>
      <w:proofErr w:type="spellStart"/>
      <w:r w:rsidRPr="0056633E">
        <w:rPr>
          <w:rFonts w:eastAsia="SimSun"/>
          <w:sz w:val="20"/>
          <w:szCs w:val="20"/>
          <w:lang w:val="sv-SE" w:eastAsia="en-GB"/>
        </w:rPr>
        <w:t>whether</w:t>
      </w:r>
      <w:proofErr w:type="spellEnd"/>
      <w:r w:rsidRPr="0056633E">
        <w:rPr>
          <w:rFonts w:eastAsia="SimSun"/>
          <w:sz w:val="20"/>
          <w:szCs w:val="20"/>
          <w:lang w:val="sv-SE" w:eastAsia="en-GB"/>
        </w:rPr>
        <w:t xml:space="preserve"> the </w:t>
      </w:r>
      <w:proofErr w:type="spellStart"/>
      <w:r w:rsidRPr="0056633E">
        <w:rPr>
          <w:rFonts w:eastAsia="SimSun"/>
          <w:sz w:val="20"/>
          <w:szCs w:val="20"/>
          <w:lang w:val="sv-SE" w:eastAsia="en-GB"/>
        </w:rPr>
        <w:t>associated</w:t>
      </w:r>
      <w:proofErr w:type="spellEnd"/>
      <w:r w:rsidRPr="0056633E">
        <w:rPr>
          <w:rFonts w:eastAsia="SimSun"/>
          <w:sz w:val="20"/>
          <w:szCs w:val="20"/>
          <w:lang w:val="sv-SE" w:eastAsia="en-GB"/>
        </w:rPr>
        <w:t xml:space="preserve"> RS in the </w:t>
      </w:r>
      <w:proofErr w:type="spellStart"/>
      <w:r w:rsidRPr="0056633E">
        <w:rPr>
          <w:rFonts w:eastAsia="SimSun"/>
          <w:sz w:val="20"/>
          <w:szCs w:val="20"/>
          <w:lang w:val="sv-SE" w:eastAsia="en-GB"/>
        </w:rPr>
        <w:t>reference</w:t>
      </w:r>
      <w:proofErr w:type="spellEnd"/>
      <w:r w:rsidRPr="0056633E">
        <w:rPr>
          <w:rFonts w:eastAsia="SimSun"/>
          <w:sz w:val="20"/>
          <w:szCs w:val="20"/>
          <w:lang w:val="sv-SE" w:eastAsia="en-GB"/>
        </w:rPr>
        <w:t xml:space="preserve"> CC is </w:t>
      </w:r>
      <w:proofErr w:type="spellStart"/>
      <w:r w:rsidRPr="0056633E">
        <w:rPr>
          <w:rFonts w:eastAsia="SimSun"/>
          <w:sz w:val="20"/>
          <w:szCs w:val="20"/>
          <w:lang w:val="sv-SE" w:eastAsia="en-GB"/>
        </w:rPr>
        <w:t>known</w:t>
      </w:r>
      <w:proofErr w:type="spellEnd"/>
      <w:r w:rsidRPr="0056633E">
        <w:rPr>
          <w:rFonts w:eastAsia="SimSun"/>
          <w:sz w:val="20"/>
          <w:szCs w:val="20"/>
          <w:lang w:val="sv-SE" w:eastAsia="en-GB"/>
        </w:rPr>
        <w:t xml:space="preserve"> or not. </w:t>
      </w:r>
    </w:p>
    <w:p w14:paraId="596039F2" w14:textId="77777777" w:rsidR="0056633E" w:rsidRPr="0056633E" w:rsidRDefault="0056633E" w:rsidP="0056633E">
      <w:pPr>
        <w:numPr>
          <w:ilvl w:val="1"/>
          <w:numId w:val="3"/>
        </w:numPr>
        <w:spacing w:after="120"/>
        <w:ind w:left="2080"/>
        <w:rPr>
          <w:rFonts w:eastAsia="SimSun"/>
          <w:sz w:val="20"/>
          <w:szCs w:val="20"/>
          <w:lang w:val="sv-SE" w:eastAsia="en-GB"/>
        </w:rPr>
      </w:pPr>
      <w:r w:rsidRPr="0056633E">
        <w:rPr>
          <w:rFonts w:eastAsia="SimSun"/>
          <w:sz w:val="20"/>
          <w:szCs w:val="20"/>
          <w:lang w:val="sv-SE" w:eastAsia="en-GB"/>
        </w:rPr>
        <w:t>Option 3(Apple, ZTE):</w:t>
      </w:r>
    </w:p>
    <w:p w14:paraId="5B9BF1C6" w14:textId="77777777" w:rsidR="0056633E" w:rsidRPr="0056633E" w:rsidRDefault="0056633E" w:rsidP="0056633E">
      <w:pPr>
        <w:numPr>
          <w:ilvl w:val="2"/>
          <w:numId w:val="3"/>
        </w:numPr>
        <w:spacing w:after="120"/>
        <w:ind w:left="2800"/>
        <w:rPr>
          <w:rFonts w:eastAsia="SimSun"/>
          <w:sz w:val="20"/>
          <w:szCs w:val="20"/>
          <w:lang w:val="sv-SE" w:eastAsia="en-GB"/>
        </w:rPr>
      </w:pPr>
      <w:r w:rsidRPr="0056633E">
        <w:rPr>
          <w:rFonts w:eastAsia="SimSun"/>
          <w:bCs/>
          <w:sz w:val="20"/>
          <w:szCs w:val="20"/>
          <w:lang w:val="en-GB" w:eastAsia="en-GB"/>
        </w:rPr>
        <w:t>The known condition should be dependent on shared RS or different RS.</w:t>
      </w:r>
    </w:p>
    <w:p w14:paraId="6F58220B" w14:textId="4414D2BB" w:rsidR="0056633E" w:rsidRDefault="0056633E" w:rsidP="005B410D">
      <w:pPr>
        <w:spacing w:after="120"/>
        <w:rPr>
          <w:rFonts w:eastAsia="SimSun"/>
          <w:sz w:val="20"/>
          <w:szCs w:val="20"/>
          <w:lang w:val="en-GB" w:eastAsia="en-GB"/>
        </w:rPr>
      </w:pPr>
    </w:p>
    <w:p w14:paraId="2DE4CFA6" w14:textId="77777777" w:rsidR="004D2FAA" w:rsidRDefault="0056633E" w:rsidP="004D2FAA">
      <w:pPr>
        <w:spacing w:after="120"/>
        <w:rPr>
          <w:rFonts w:eastAsia="SimSun"/>
          <w:sz w:val="20"/>
          <w:szCs w:val="20"/>
          <w:lang w:val="en-GB" w:eastAsia="en-GB"/>
        </w:rPr>
      </w:pPr>
      <w:r>
        <w:rPr>
          <w:rFonts w:eastAsia="SimSun"/>
          <w:sz w:val="20"/>
          <w:szCs w:val="20"/>
          <w:lang w:val="en-GB" w:eastAsia="en-GB"/>
        </w:rPr>
        <w:t xml:space="preserve">For common TCI indication introduced in R17, the </w:t>
      </w:r>
      <w:r w:rsidR="004D2FAA">
        <w:rPr>
          <w:rFonts w:eastAsia="SimSun"/>
          <w:sz w:val="20"/>
          <w:szCs w:val="20"/>
          <w:lang w:val="en-GB" w:eastAsia="en-GB"/>
        </w:rPr>
        <w:t>CCs can be indicated a common TCI ID. Hence the common TCI switch for CA can be one of 2 cases:</w:t>
      </w:r>
    </w:p>
    <w:p w14:paraId="3DFED9F6" w14:textId="77777777" w:rsidR="004D2FAA" w:rsidRDefault="004D2FAA" w:rsidP="004D2FAA">
      <w:pPr>
        <w:spacing w:after="120"/>
        <w:rPr>
          <w:rFonts w:eastAsia="SimSun"/>
          <w:sz w:val="20"/>
          <w:szCs w:val="20"/>
          <w:lang w:val="en-GB" w:eastAsia="en-GB"/>
        </w:rPr>
      </w:pPr>
      <w:r>
        <w:rPr>
          <w:rFonts w:eastAsia="SimSun"/>
          <w:sz w:val="20"/>
          <w:szCs w:val="20"/>
          <w:lang w:val="en-GB" w:eastAsia="en-GB"/>
        </w:rPr>
        <w:t>Case 1: The TCI states associated with common TCI ID is the same or shared RS</w:t>
      </w:r>
    </w:p>
    <w:p w14:paraId="74FC9738" w14:textId="77777777" w:rsidR="004D2FAA" w:rsidRDefault="004D2FAA" w:rsidP="004D2FAA">
      <w:pPr>
        <w:spacing w:after="120"/>
        <w:rPr>
          <w:rFonts w:eastAsia="SimSun"/>
          <w:sz w:val="20"/>
          <w:szCs w:val="20"/>
          <w:lang w:val="en-GB" w:eastAsia="en-GB"/>
        </w:rPr>
      </w:pPr>
      <w:r>
        <w:rPr>
          <w:rFonts w:eastAsia="SimSun"/>
          <w:sz w:val="20"/>
          <w:szCs w:val="20"/>
          <w:lang w:val="en-GB" w:eastAsia="en-GB"/>
        </w:rPr>
        <w:lastRenderedPageBreak/>
        <w:t>Case 2: The TCI states associated with common TCI ID are different RS</w:t>
      </w:r>
    </w:p>
    <w:p w14:paraId="6DE52799" w14:textId="403411B0" w:rsidR="0056633E" w:rsidRDefault="004D2FAA" w:rsidP="005B410D">
      <w:pPr>
        <w:spacing w:after="120"/>
        <w:rPr>
          <w:rFonts w:eastAsia="SimSun"/>
          <w:sz w:val="20"/>
          <w:szCs w:val="20"/>
          <w:lang w:val="en-GB" w:eastAsia="en-GB"/>
        </w:rPr>
      </w:pPr>
      <w:r>
        <w:rPr>
          <w:rFonts w:eastAsia="SimSun"/>
          <w:sz w:val="20"/>
          <w:szCs w:val="20"/>
          <w:lang w:val="en-GB" w:eastAsia="en-GB"/>
        </w:rPr>
        <w:t>If the TCI states are associated with different RS, the TCI state switching delay would apply for each CC separately depending on the known condition, target TCI in active TCI list and whether PL-RS is maintained. There is no necessity to specify a switching delay for this case.</w:t>
      </w:r>
    </w:p>
    <w:p w14:paraId="5B10ABB1" w14:textId="06AA1DE2" w:rsidR="004D2FAA" w:rsidRPr="004D2FAA" w:rsidRDefault="004D2FAA"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If the</w:t>
      </w:r>
      <w:r w:rsidRPr="004D2FAA">
        <w:t xml:space="preserve"> </w:t>
      </w:r>
      <w:r w:rsidRPr="004D2FAA">
        <w:rPr>
          <w:rFonts w:eastAsia="SimSun"/>
          <w:i/>
          <w:iCs/>
          <w:sz w:val="20"/>
          <w:szCs w:val="20"/>
          <w:lang w:val="en-GB" w:eastAsia="en-GB"/>
        </w:rPr>
        <w:t>TCI states associated with</w:t>
      </w:r>
      <w:r>
        <w:rPr>
          <w:rFonts w:eastAsia="SimSun"/>
          <w:i/>
          <w:iCs/>
          <w:sz w:val="20"/>
          <w:szCs w:val="20"/>
          <w:lang w:val="en-GB" w:eastAsia="en-GB"/>
        </w:rPr>
        <w:t xml:space="preserve"> </w:t>
      </w:r>
      <w:r w:rsidRPr="004D2FAA">
        <w:rPr>
          <w:rFonts w:eastAsia="SimSun"/>
          <w:i/>
          <w:iCs/>
          <w:sz w:val="20"/>
          <w:szCs w:val="20"/>
          <w:lang w:val="en-GB" w:eastAsia="en-GB"/>
        </w:rPr>
        <w:t xml:space="preserve">common TCI ID are different </w:t>
      </w:r>
      <w:proofErr w:type="gramStart"/>
      <w:r w:rsidRPr="004D2FAA">
        <w:rPr>
          <w:rFonts w:eastAsia="SimSun"/>
          <w:i/>
          <w:iCs/>
          <w:sz w:val="20"/>
          <w:szCs w:val="20"/>
          <w:lang w:val="en-GB" w:eastAsia="en-GB"/>
        </w:rPr>
        <w:t>RS</w:t>
      </w:r>
      <w:proofErr w:type="gramEnd"/>
      <w:r>
        <w:rPr>
          <w:rFonts w:eastAsia="SimSun"/>
          <w:i/>
          <w:iCs/>
          <w:sz w:val="20"/>
          <w:szCs w:val="20"/>
          <w:lang w:val="en-GB" w:eastAsia="en-GB"/>
        </w:rPr>
        <w:t xml:space="preserve"> then the switching delay would apply for each CC separately. </w:t>
      </w:r>
    </w:p>
    <w:p w14:paraId="36D94FD2" w14:textId="38A8D7C5" w:rsidR="004D2FAA" w:rsidRDefault="004D2FAA" w:rsidP="004D2FAA">
      <w:pPr>
        <w:spacing w:after="120"/>
        <w:rPr>
          <w:rFonts w:eastAsia="SimSun"/>
          <w:sz w:val="20"/>
          <w:szCs w:val="20"/>
          <w:lang w:val="en-GB" w:eastAsia="en-GB"/>
        </w:rPr>
      </w:pPr>
      <w:r>
        <w:rPr>
          <w:rFonts w:eastAsia="SimSun"/>
          <w:bCs/>
          <w:sz w:val="20"/>
          <w:szCs w:val="20"/>
          <w:lang w:val="en-GB" w:eastAsia="en-GB"/>
        </w:rPr>
        <w:t xml:space="preserve">If the </w:t>
      </w:r>
      <w:r>
        <w:rPr>
          <w:rFonts w:eastAsia="SimSun"/>
          <w:sz w:val="20"/>
          <w:szCs w:val="20"/>
          <w:lang w:val="en-GB" w:eastAsia="en-GB"/>
        </w:rPr>
        <w:t xml:space="preserve">TCI states associated with common TCI ID is the same or shared RS, then a common TCI state switching delay can be defined. </w:t>
      </w:r>
    </w:p>
    <w:p w14:paraId="27AA25F2" w14:textId="33351D3F" w:rsidR="004D2FAA" w:rsidRPr="004D2FAA" w:rsidRDefault="004D2FAA" w:rsidP="004D2FAA">
      <w:pPr>
        <w:spacing w:after="120"/>
        <w:rPr>
          <w:rFonts w:eastAsia="SimSun"/>
          <w:i/>
          <w:iCs/>
          <w:sz w:val="20"/>
          <w:szCs w:val="20"/>
          <w:lang w:val="en-GB" w:eastAsia="en-GB"/>
        </w:rPr>
      </w:pPr>
      <w:r>
        <w:rPr>
          <w:rFonts w:eastAsia="SimSun"/>
          <w:b/>
          <w:bCs/>
          <w:i/>
          <w:iCs/>
          <w:sz w:val="20"/>
          <w:szCs w:val="20"/>
          <w:lang w:val="en-GB" w:eastAsia="en-GB"/>
        </w:rPr>
        <w:t xml:space="preserve">Observation #3: </w:t>
      </w:r>
      <w:r>
        <w:rPr>
          <w:rFonts w:eastAsia="SimSun"/>
          <w:i/>
          <w:iCs/>
          <w:sz w:val="20"/>
          <w:szCs w:val="20"/>
          <w:lang w:val="en-GB" w:eastAsia="en-GB"/>
        </w:rPr>
        <w:t>If the</w:t>
      </w:r>
      <w:r w:rsidRPr="004D2FAA">
        <w:t xml:space="preserve"> </w:t>
      </w:r>
      <w:r w:rsidRPr="004D2FAA">
        <w:rPr>
          <w:rFonts w:eastAsia="SimSun"/>
          <w:i/>
          <w:iCs/>
          <w:sz w:val="20"/>
          <w:szCs w:val="20"/>
          <w:lang w:val="en-GB" w:eastAsia="en-GB"/>
        </w:rPr>
        <w:t>TCI states associated with</w:t>
      </w:r>
      <w:r>
        <w:rPr>
          <w:rFonts w:eastAsia="SimSun"/>
          <w:i/>
          <w:iCs/>
          <w:sz w:val="20"/>
          <w:szCs w:val="20"/>
          <w:lang w:val="en-GB" w:eastAsia="en-GB"/>
        </w:rPr>
        <w:t xml:space="preserve"> </w:t>
      </w:r>
      <w:r w:rsidRPr="004D2FAA">
        <w:rPr>
          <w:rFonts w:eastAsia="SimSun"/>
          <w:i/>
          <w:iCs/>
          <w:sz w:val="20"/>
          <w:szCs w:val="20"/>
          <w:lang w:val="en-GB" w:eastAsia="en-GB"/>
        </w:rPr>
        <w:t xml:space="preserve">common TCI ID are </w:t>
      </w:r>
      <w:r>
        <w:rPr>
          <w:rFonts w:eastAsia="SimSun"/>
          <w:i/>
          <w:iCs/>
          <w:sz w:val="20"/>
          <w:szCs w:val="20"/>
          <w:lang w:val="en-GB" w:eastAsia="en-GB"/>
        </w:rPr>
        <w:t>the same or shared</w:t>
      </w:r>
      <w:r w:rsidRPr="004D2FAA">
        <w:rPr>
          <w:rFonts w:eastAsia="SimSun"/>
          <w:i/>
          <w:iCs/>
          <w:sz w:val="20"/>
          <w:szCs w:val="20"/>
          <w:lang w:val="en-GB" w:eastAsia="en-GB"/>
        </w:rPr>
        <w:t xml:space="preserve"> RS</w:t>
      </w:r>
      <w:r>
        <w:rPr>
          <w:rFonts w:eastAsia="SimSun"/>
          <w:i/>
          <w:iCs/>
          <w:sz w:val="20"/>
          <w:szCs w:val="20"/>
          <w:lang w:val="en-GB" w:eastAsia="en-GB"/>
        </w:rPr>
        <w:t xml:space="preserve"> then </w:t>
      </w:r>
      <w:r w:rsidR="00971E22">
        <w:rPr>
          <w:rFonts w:eastAsia="SimSun"/>
          <w:i/>
          <w:iCs/>
          <w:sz w:val="20"/>
          <w:szCs w:val="20"/>
          <w:lang w:val="en-GB" w:eastAsia="en-GB"/>
        </w:rPr>
        <w:t>a common</w:t>
      </w:r>
      <w:r>
        <w:rPr>
          <w:rFonts w:eastAsia="SimSun"/>
          <w:i/>
          <w:iCs/>
          <w:sz w:val="20"/>
          <w:szCs w:val="20"/>
          <w:lang w:val="en-GB" w:eastAsia="en-GB"/>
        </w:rPr>
        <w:t xml:space="preserve"> switching delay </w:t>
      </w:r>
      <w:r w:rsidR="00971E22">
        <w:rPr>
          <w:rFonts w:eastAsia="SimSun"/>
          <w:i/>
          <w:iCs/>
          <w:sz w:val="20"/>
          <w:szCs w:val="20"/>
          <w:lang w:val="en-GB" w:eastAsia="en-GB"/>
        </w:rPr>
        <w:t>can be defined</w:t>
      </w:r>
      <w:r>
        <w:rPr>
          <w:rFonts w:eastAsia="SimSun"/>
          <w:i/>
          <w:iCs/>
          <w:sz w:val="20"/>
          <w:szCs w:val="20"/>
          <w:lang w:val="en-GB" w:eastAsia="en-GB"/>
        </w:rPr>
        <w:t xml:space="preserve">. </w:t>
      </w:r>
    </w:p>
    <w:p w14:paraId="44A61ABE" w14:textId="48BD5CD6" w:rsidR="004D2FAA" w:rsidRPr="00971E22" w:rsidRDefault="00971E22" w:rsidP="005B410D">
      <w:pPr>
        <w:spacing w:after="120"/>
        <w:rPr>
          <w:rFonts w:eastAsia="SimSun"/>
          <w:bCs/>
          <w:sz w:val="20"/>
          <w:szCs w:val="20"/>
          <w:lang w:val="en-GB" w:eastAsia="en-GB"/>
        </w:rPr>
      </w:pPr>
      <w:r>
        <w:rPr>
          <w:rFonts w:eastAsia="SimSun"/>
          <w:bCs/>
          <w:sz w:val="20"/>
          <w:szCs w:val="20"/>
          <w:lang w:val="en-GB" w:eastAsia="en-GB"/>
        </w:rPr>
        <w:t xml:space="preserve">We propose that we only define common TCI switching requirements for </w:t>
      </w:r>
      <w:r>
        <w:rPr>
          <w:rFonts w:eastAsia="SimSun"/>
          <w:sz w:val="20"/>
          <w:szCs w:val="20"/>
          <w:lang w:val="en-GB" w:eastAsia="en-GB"/>
        </w:rPr>
        <w:t>TCI states associated with common TCI ID is the same or shared RS.</w:t>
      </w:r>
    </w:p>
    <w:p w14:paraId="14510D32" w14:textId="387A3DEA" w:rsidR="004338CB" w:rsidRPr="004338CB" w:rsidRDefault="004338CB" w:rsidP="005B410D">
      <w:pPr>
        <w:spacing w:after="120"/>
        <w:rPr>
          <w:rFonts w:eastAsia="SimSun"/>
          <w:b/>
          <w:sz w:val="20"/>
          <w:szCs w:val="20"/>
          <w:lang w:val="en-GB" w:eastAsia="en-GB"/>
        </w:rPr>
      </w:pPr>
      <w:r>
        <w:rPr>
          <w:rFonts w:eastAsia="SimSun"/>
          <w:b/>
          <w:sz w:val="20"/>
          <w:szCs w:val="20"/>
          <w:lang w:val="en-GB" w:eastAsia="en-GB"/>
        </w:rPr>
        <w:t>Proposal #4: Define requirements for common RS case only – when the target TCI state ID is associated with the same RS for all CCs</w:t>
      </w:r>
    </w:p>
    <w:p w14:paraId="69615C48" w14:textId="681B4F72" w:rsidR="004D2EA0" w:rsidRDefault="00971E22" w:rsidP="005B410D">
      <w:pPr>
        <w:spacing w:after="120"/>
        <w:rPr>
          <w:rFonts w:eastAsia="SimSun"/>
          <w:sz w:val="20"/>
          <w:szCs w:val="20"/>
          <w:lang w:val="en-GB" w:eastAsia="en-GB"/>
        </w:rPr>
      </w:pPr>
      <w:r>
        <w:rPr>
          <w:rFonts w:eastAsia="SimSun"/>
          <w:sz w:val="20"/>
          <w:szCs w:val="20"/>
          <w:lang w:val="en-GB" w:eastAsia="en-GB"/>
        </w:rPr>
        <w:t>In the approved draft CRs for unified TCI, the following was the wording used for potentially capturing requirements for common TCI:</w:t>
      </w:r>
    </w:p>
    <w:p w14:paraId="7AC3A5EC" w14:textId="3F708B9F" w:rsidR="00971E22" w:rsidRDefault="00971E22" w:rsidP="005B410D">
      <w:pPr>
        <w:spacing w:after="120"/>
        <w:rPr>
          <w:rFonts w:eastAsia="SimSun"/>
          <w:sz w:val="20"/>
          <w:szCs w:val="20"/>
          <w:lang w:val="en-GB" w:eastAsia="en-GB"/>
        </w:rPr>
      </w:pPr>
      <w:r w:rsidRPr="00971E22">
        <w:rPr>
          <w:rFonts w:eastAsia="SimSun"/>
          <w:noProof/>
          <w:sz w:val="20"/>
          <w:szCs w:val="20"/>
          <w:lang w:val="en-GB" w:eastAsia="en-GB"/>
        </w:rPr>
        <w:drawing>
          <wp:inline distT="0" distB="0" distL="0" distR="0" wp14:anchorId="5BA91D2A" wp14:editId="0136776B">
            <wp:extent cx="5943600" cy="2138045"/>
            <wp:effectExtent l="0" t="0" r="0" b="0"/>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email&#10;&#10;Description automatically generated"/>
                    <pic:cNvPicPr/>
                  </pic:nvPicPr>
                  <pic:blipFill>
                    <a:blip r:embed="rId6"/>
                    <a:stretch>
                      <a:fillRect/>
                    </a:stretch>
                  </pic:blipFill>
                  <pic:spPr>
                    <a:xfrm>
                      <a:off x="0" y="0"/>
                      <a:ext cx="5943600" cy="2138045"/>
                    </a:xfrm>
                    <a:prstGeom prst="rect">
                      <a:avLst/>
                    </a:prstGeom>
                  </pic:spPr>
                </pic:pic>
              </a:graphicData>
            </a:graphic>
          </wp:inline>
        </w:drawing>
      </w:r>
    </w:p>
    <w:p w14:paraId="351FAF0E" w14:textId="6314D808" w:rsidR="00974AD0" w:rsidRDefault="00297C6E" w:rsidP="005B410D">
      <w:pPr>
        <w:spacing w:after="120"/>
        <w:rPr>
          <w:rFonts w:eastAsia="SimSun"/>
          <w:sz w:val="20"/>
          <w:szCs w:val="20"/>
          <w:lang w:val="en-GB" w:eastAsia="en-GB"/>
        </w:rPr>
      </w:pPr>
      <w:r>
        <w:rPr>
          <w:rFonts w:eastAsia="SimSun"/>
          <w:sz w:val="20"/>
          <w:szCs w:val="20"/>
          <w:lang w:val="en-GB" w:eastAsia="en-GB"/>
        </w:rPr>
        <w:t xml:space="preserve">Common TCI is not indicated by </w:t>
      </w:r>
      <w:r w:rsidRPr="00297C6E">
        <w:rPr>
          <w:i/>
          <w:iCs/>
        </w:rPr>
        <w:t>simultaneousTCI-UpdateList1 or simultaneousTCI-UpdateList</w:t>
      </w:r>
      <w:proofErr w:type="gramStart"/>
      <w:r w:rsidRPr="00297C6E">
        <w:rPr>
          <w:i/>
          <w:iCs/>
        </w:rPr>
        <w:t>2</w:t>
      </w:r>
      <w:r w:rsidRPr="00297C6E">
        <w:rPr>
          <w:rFonts w:eastAsia="SimSun"/>
          <w:sz w:val="20"/>
          <w:szCs w:val="20"/>
          <w:lang w:val="en-GB" w:eastAsia="en-GB"/>
        </w:rPr>
        <w:t xml:space="preserve"> .</w:t>
      </w:r>
      <w:proofErr w:type="gramEnd"/>
      <w:r>
        <w:rPr>
          <w:rFonts w:eastAsia="SimSun"/>
          <w:sz w:val="20"/>
          <w:szCs w:val="20"/>
          <w:lang w:val="en-GB" w:eastAsia="en-GB"/>
        </w:rPr>
        <w:t xml:space="preserve"> These IEs were introduced in Rel-16 for simultaneous TCI update and not in Rel-17 for common TCI update. </w:t>
      </w:r>
      <w:r w:rsidR="00974AD0">
        <w:rPr>
          <w:rFonts w:eastAsia="SimSun"/>
          <w:sz w:val="20"/>
          <w:szCs w:val="20"/>
          <w:lang w:val="en-GB" w:eastAsia="en-GB"/>
        </w:rPr>
        <w:t xml:space="preserve">RAN2 is discussing the IE to indicate common TCI. From the running CR, the IE used to indicate common TCI is </w:t>
      </w:r>
      <w:proofErr w:type="spellStart"/>
      <w:r w:rsidR="00974AD0" w:rsidRPr="00974AD0">
        <w:rPr>
          <w:rFonts w:eastAsia="SimSun"/>
          <w:i/>
          <w:iCs/>
          <w:sz w:val="20"/>
          <w:szCs w:val="20"/>
          <w:lang w:val="en-GB" w:eastAsia="en-GB"/>
        </w:rPr>
        <w:t>simultaneousU</w:t>
      </w:r>
      <w:proofErr w:type="spellEnd"/>
      <w:r w:rsidR="00974AD0" w:rsidRPr="00974AD0">
        <w:rPr>
          <w:rFonts w:eastAsia="SimSun"/>
          <w:i/>
          <w:iCs/>
          <w:sz w:val="20"/>
          <w:szCs w:val="20"/>
          <w:lang w:val="en-GB" w:eastAsia="en-GB"/>
        </w:rPr>
        <w:t>-TCI-</w:t>
      </w:r>
      <w:proofErr w:type="spellStart"/>
      <w:r w:rsidR="00974AD0" w:rsidRPr="00974AD0">
        <w:rPr>
          <w:rFonts w:eastAsia="SimSun"/>
          <w:i/>
          <w:iCs/>
          <w:sz w:val="20"/>
          <w:szCs w:val="20"/>
          <w:lang w:val="en-GB" w:eastAsia="en-GB"/>
        </w:rPr>
        <w:t>UpdateListn</w:t>
      </w:r>
      <w:proofErr w:type="spellEnd"/>
    </w:p>
    <w:p w14:paraId="0B451E4B" w14:textId="15C7D976" w:rsidR="00F342CA" w:rsidRDefault="00974AD0" w:rsidP="005B410D">
      <w:pPr>
        <w:spacing w:after="120"/>
        <w:rPr>
          <w:rFonts w:eastAsia="SimSun"/>
          <w:sz w:val="20"/>
          <w:szCs w:val="20"/>
          <w:lang w:val="en-GB" w:eastAsia="en-GB"/>
        </w:rPr>
      </w:pPr>
      <w:r>
        <w:rPr>
          <w:rFonts w:eastAsia="SimSun"/>
          <w:sz w:val="20"/>
          <w:szCs w:val="20"/>
          <w:lang w:val="en-GB" w:eastAsia="en-GB"/>
        </w:rPr>
        <w:t xml:space="preserve"> </w:t>
      </w:r>
      <w:r w:rsidRPr="00974AD0">
        <w:rPr>
          <w:rFonts w:eastAsia="SimSun"/>
          <w:noProof/>
          <w:sz w:val="20"/>
          <w:szCs w:val="20"/>
          <w:lang w:val="en-GB" w:eastAsia="en-GB"/>
        </w:rPr>
        <w:drawing>
          <wp:inline distT="0" distB="0" distL="0" distR="0" wp14:anchorId="2EEE4056" wp14:editId="3B78D9D2">
            <wp:extent cx="5943600" cy="3130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13055"/>
                    </a:xfrm>
                    <a:prstGeom prst="rect">
                      <a:avLst/>
                    </a:prstGeom>
                  </pic:spPr>
                </pic:pic>
              </a:graphicData>
            </a:graphic>
          </wp:inline>
        </w:drawing>
      </w:r>
    </w:p>
    <w:p w14:paraId="55DB6A90" w14:textId="01E1B63D" w:rsidR="00B5706E" w:rsidRPr="00B5706E" w:rsidRDefault="00B5706E" w:rsidP="005B410D">
      <w:pPr>
        <w:spacing w:after="120"/>
        <w:rPr>
          <w:rFonts w:eastAsia="SimSun"/>
          <w:sz w:val="20"/>
          <w:szCs w:val="20"/>
          <w:lang w:val="en-GB" w:eastAsia="en-GB"/>
        </w:rPr>
      </w:pPr>
      <w:proofErr w:type="gramStart"/>
      <w:r>
        <w:rPr>
          <w:rFonts w:eastAsia="SimSun"/>
          <w:sz w:val="20"/>
          <w:szCs w:val="20"/>
          <w:lang w:val="en-GB" w:eastAsia="en-GB"/>
        </w:rPr>
        <w:t>Hence</w:t>
      </w:r>
      <w:proofErr w:type="gramEnd"/>
      <w:r>
        <w:rPr>
          <w:rFonts w:eastAsia="SimSun"/>
          <w:sz w:val="20"/>
          <w:szCs w:val="20"/>
          <w:lang w:val="en-GB" w:eastAsia="en-GB"/>
        </w:rPr>
        <w:t xml:space="preserve"> we propose to delete </w:t>
      </w:r>
      <w:r w:rsidRPr="00B5706E">
        <w:t xml:space="preserve">[all CCs </w:t>
      </w:r>
      <w:r w:rsidRPr="00B5706E">
        <w:rPr>
          <w:color w:val="FF0000"/>
        </w:rPr>
        <w:t>with a common indicated TCI-State</w:t>
      </w:r>
      <w:r w:rsidRPr="00B5706E">
        <w:t xml:space="preserve"> in the same CC list configured by </w:t>
      </w:r>
      <w:r w:rsidRPr="00B5706E">
        <w:rPr>
          <w:i/>
          <w:iCs/>
        </w:rPr>
        <w:t>simultaneousTCI-UpdateList1 or simultaneousTCI-UpdateList2]</w:t>
      </w:r>
      <w:r>
        <w:rPr>
          <w:i/>
          <w:iCs/>
        </w:rPr>
        <w:t xml:space="preserve"> </w:t>
      </w:r>
      <w:r w:rsidRPr="00B5706E">
        <w:t xml:space="preserve">in DCI based TCI switch delay. </w:t>
      </w:r>
    </w:p>
    <w:p w14:paraId="45EA8617" w14:textId="42D2A52C" w:rsidR="00F342CA" w:rsidRDefault="00F342CA" w:rsidP="005B410D">
      <w:pPr>
        <w:spacing w:after="120"/>
        <w:rPr>
          <w:rFonts w:eastAsia="SimSun"/>
          <w:b/>
          <w:bCs/>
          <w:sz w:val="20"/>
          <w:szCs w:val="20"/>
          <w:lang w:val="en-GB" w:eastAsia="en-GB"/>
        </w:rPr>
      </w:pPr>
      <w:r>
        <w:rPr>
          <w:rFonts w:eastAsia="SimSun"/>
          <w:b/>
          <w:bCs/>
          <w:sz w:val="20"/>
          <w:szCs w:val="20"/>
          <w:lang w:val="en-GB" w:eastAsia="en-GB"/>
        </w:rPr>
        <w:t xml:space="preserve">Proposal #5: </w:t>
      </w:r>
      <w:r w:rsidR="00B5706E">
        <w:rPr>
          <w:rFonts w:eastAsia="SimSun"/>
          <w:b/>
          <w:bCs/>
          <w:sz w:val="20"/>
          <w:szCs w:val="20"/>
          <w:lang w:val="en-GB" w:eastAsia="en-GB"/>
        </w:rPr>
        <w:t>Delete the wording in “</w:t>
      </w:r>
      <w:proofErr w:type="gramStart"/>
      <w:r w:rsidR="00B5706E">
        <w:rPr>
          <w:rFonts w:eastAsia="SimSun"/>
          <w:b/>
          <w:bCs/>
          <w:sz w:val="20"/>
          <w:szCs w:val="20"/>
          <w:lang w:val="en-GB" w:eastAsia="en-GB"/>
        </w:rPr>
        <w:t xml:space="preserve">[ </w:t>
      </w:r>
      <w:r w:rsidR="00B5706E" w:rsidRPr="00B5706E">
        <w:rPr>
          <w:rFonts w:eastAsia="SimSun"/>
          <w:b/>
          <w:bCs/>
          <w:sz w:val="20"/>
          <w:szCs w:val="20"/>
          <w:lang w:val="en-GB" w:eastAsia="en-GB"/>
        </w:rPr>
        <w:t>]</w:t>
      </w:r>
      <w:proofErr w:type="gramEnd"/>
      <w:r w:rsidR="00B5706E" w:rsidRPr="00B5706E">
        <w:rPr>
          <w:rFonts w:eastAsia="SimSun"/>
          <w:b/>
          <w:bCs/>
          <w:sz w:val="20"/>
          <w:szCs w:val="20"/>
          <w:lang w:val="en-GB" w:eastAsia="en-GB"/>
        </w:rPr>
        <w:t xml:space="preserve">”: </w:t>
      </w:r>
      <w:r w:rsidR="00DF7931" w:rsidRPr="00B5706E">
        <w:rPr>
          <w:rFonts w:eastAsia="SimSun"/>
          <w:b/>
          <w:bCs/>
          <w:sz w:val="20"/>
          <w:szCs w:val="20"/>
          <w:lang w:val="en-GB" w:eastAsia="en-GB"/>
        </w:rPr>
        <w:t xml:space="preserve"> </w:t>
      </w:r>
      <w:r w:rsidR="00B5706E" w:rsidRPr="00B5706E">
        <w:rPr>
          <w:b/>
          <w:bCs/>
        </w:rPr>
        <w:t xml:space="preserve">[all CCs </w:t>
      </w:r>
      <w:r w:rsidR="00B5706E" w:rsidRPr="00B5706E">
        <w:rPr>
          <w:b/>
          <w:bCs/>
          <w:color w:val="FF0000"/>
        </w:rPr>
        <w:t>with a common indicated TCI-State</w:t>
      </w:r>
      <w:r w:rsidR="00B5706E" w:rsidRPr="00B5706E">
        <w:rPr>
          <w:b/>
          <w:bCs/>
        </w:rPr>
        <w:t xml:space="preserve"> in the same CC list configured by </w:t>
      </w:r>
      <w:r w:rsidR="00B5706E" w:rsidRPr="00B5706E">
        <w:rPr>
          <w:b/>
          <w:bCs/>
          <w:i/>
          <w:iCs/>
        </w:rPr>
        <w:t xml:space="preserve">simultaneousTCI-UpdateList1 or simultaneousTCI-UpdateList2] </w:t>
      </w:r>
      <w:r w:rsidR="00DF7931" w:rsidRPr="00B5706E">
        <w:rPr>
          <w:rFonts w:eastAsia="SimSun"/>
          <w:b/>
          <w:bCs/>
          <w:sz w:val="20"/>
          <w:szCs w:val="20"/>
          <w:lang w:val="en-GB" w:eastAsia="en-GB"/>
        </w:rPr>
        <w:t xml:space="preserve"> </w:t>
      </w:r>
      <w:r w:rsidR="00B5706E">
        <w:rPr>
          <w:rFonts w:eastAsia="SimSun"/>
          <w:b/>
          <w:bCs/>
          <w:sz w:val="20"/>
          <w:szCs w:val="20"/>
          <w:lang w:val="en-GB" w:eastAsia="en-GB"/>
        </w:rPr>
        <w:t>for DCI based downlink TCI state switch delay</w:t>
      </w:r>
    </w:p>
    <w:p w14:paraId="26176A78" w14:textId="5380BACC" w:rsidR="00B5706E" w:rsidRDefault="00B5706E" w:rsidP="005B410D">
      <w:pPr>
        <w:spacing w:after="120"/>
        <w:rPr>
          <w:rFonts w:eastAsia="SimSun"/>
          <w:sz w:val="20"/>
          <w:szCs w:val="20"/>
          <w:lang w:val="en-GB" w:eastAsia="en-GB"/>
        </w:rPr>
      </w:pPr>
      <w:r>
        <w:rPr>
          <w:rFonts w:eastAsia="SimSun"/>
          <w:sz w:val="20"/>
          <w:szCs w:val="20"/>
          <w:lang w:val="en-GB" w:eastAsia="en-GB"/>
        </w:rPr>
        <w:t>We propose to further discuss how the common TCI update is captured in requirements</w:t>
      </w:r>
      <w:r w:rsidR="00140D93">
        <w:rPr>
          <w:rFonts w:eastAsia="SimSun"/>
          <w:sz w:val="20"/>
          <w:szCs w:val="20"/>
          <w:lang w:val="en-GB" w:eastAsia="en-GB"/>
        </w:rPr>
        <w:t>, for shared RS.</w:t>
      </w:r>
    </w:p>
    <w:p w14:paraId="699957E7" w14:textId="62EED682" w:rsidR="00B5706E" w:rsidRPr="00B5706E" w:rsidRDefault="00B5706E" w:rsidP="005B410D">
      <w:pPr>
        <w:spacing w:after="120"/>
        <w:rPr>
          <w:rFonts w:eastAsia="SimSun"/>
          <w:b/>
          <w:bCs/>
          <w:sz w:val="20"/>
          <w:szCs w:val="20"/>
          <w:lang w:val="en-GB" w:eastAsia="en-GB"/>
        </w:rPr>
      </w:pPr>
      <w:r>
        <w:rPr>
          <w:rFonts w:eastAsia="SimSun"/>
          <w:b/>
          <w:bCs/>
          <w:sz w:val="20"/>
          <w:szCs w:val="20"/>
          <w:lang w:val="en-GB" w:eastAsia="en-GB"/>
        </w:rPr>
        <w:t xml:space="preserve">Proposal #6: Further discuss how to capture common TCI switch with common RS if necessary. </w:t>
      </w:r>
    </w:p>
    <w:p w14:paraId="0B3141EF" w14:textId="77777777" w:rsidR="009F52D7" w:rsidRPr="002F79EB" w:rsidRDefault="009F52D7" w:rsidP="009F52D7">
      <w:pPr>
        <w:pStyle w:val="Heading1"/>
        <w:rPr>
          <w:lang w:val="en-US"/>
        </w:rPr>
      </w:pPr>
      <w:r>
        <w:rPr>
          <w:lang w:val="en-US"/>
        </w:rPr>
        <w:lastRenderedPageBreak/>
        <w:t>3. Conclusion</w:t>
      </w:r>
    </w:p>
    <w:p w14:paraId="7BBB2F9C" w14:textId="61B2D29C" w:rsidR="009F52D7" w:rsidRPr="005B410D" w:rsidRDefault="009F52D7" w:rsidP="005B410D">
      <w:pPr>
        <w:spacing w:after="120"/>
        <w:rPr>
          <w:sz w:val="20"/>
          <w:szCs w:val="20"/>
        </w:rPr>
      </w:pPr>
      <w:r w:rsidRPr="00D023C8">
        <w:rPr>
          <w:sz w:val="20"/>
          <w:szCs w:val="20"/>
        </w:rPr>
        <w:t xml:space="preserve">In this paper, we provide our </w:t>
      </w:r>
      <w:r w:rsidR="001B05EC" w:rsidRPr="00D023C8">
        <w:rPr>
          <w:sz w:val="20"/>
          <w:szCs w:val="20"/>
        </w:rPr>
        <w:t>views on open issues on requirements for unified TCI.</w:t>
      </w:r>
      <w:r w:rsidRPr="00D023C8">
        <w:rPr>
          <w:sz w:val="20"/>
          <w:szCs w:val="20"/>
        </w:rPr>
        <w:t xml:space="preserve"> Our observations and proposals are captured below:</w:t>
      </w:r>
    </w:p>
    <w:p w14:paraId="1BB5F68A" w14:textId="31EB5948" w:rsidR="001B05EC" w:rsidRPr="001B05EC" w:rsidRDefault="001B05EC" w:rsidP="001B05EC">
      <w:pPr>
        <w:spacing w:after="120"/>
        <w:rPr>
          <w:b/>
          <w:bCs/>
          <w:sz w:val="20"/>
          <w:szCs w:val="20"/>
          <w:u w:val="single"/>
          <w:lang w:val="en-GB"/>
        </w:rPr>
      </w:pPr>
      <w:r w:rsidRPr="001B05EC">
        <w:rPr>
          <w:b/>
          <w:bCs/>
          <w:sz w:val="20"/>
          <w:szCs w:val="20"/>
          <w:u w:val="single"/>
          <w:lang w:val="en-GB"/>
        </w:rPr>
        <w:t xml:space="preserve">UL TCI state switching requirements </w:t>
      </w:r>
    </w:p>
    <w:p w14:paraId="78A3C992" w14:textId="4307C24E" w:rsidR="001B05EC" w:rsidRPr="001B05EC" w:rsidRDefault="001B05EC" w:rsidP="001B05EC">
      <w:pPr>
        <w:spacing w:after="120"/>
        <w:rPr>
          <w:b/>
          <w:bCs/>
          <w:sz w:val="20"/>
          <w:szCs w:val="20"/>
          <w:lang w:val="en-GB"/>
        </w:rPr>
      </w:pPr>
      <w:r w:rsidRPr="001B05EC">
        <w:rPr>
          <w:b/>
          <w:bCs/>
          <w:sz w:val="20"/>
          <w:szCs w:val="20"/>
          <w:lang w:val="en-GB"/>
        </w:rPr>
        <w:t>Proposal #1: DCI based UL TCI state switch shall be applicable when target TCI state is known and in activated UL TCI state list.</w:t>
      </w:r>
    </w:p>
    <w:p w14:paraId="3E78D8FB" w14:textId="77777777" w:rsidR="001B05EC" w:rsidRPr="001B05EC" w:rsidRDefault="001B05EC" w:rsidP="001B05EC">
      <w:pPr>
        <w:spacing w:after="120"/>
        <w:rPr>
          <w:b/>
          <w:sz w:val="20"/>
          <w:szCs w:val="20"/>
          <w:lang w:val="en-GB"/>
        </w:rPr>
      </w:pPr>
      <w:r w:rsidRPr="001B05EC">
        <w:rPr>
          <w:b/>
          <w:bCs/>
          <w:sz w:val="20"/>
          <w:szCs w:val="20"/>
          <w:lang w:val="en-GB"/>
        </w:rPr>
        <w:t xml:space="preserve">Proposal #2: When PL-RS of target TCI state is SSB, in FR2 the time for PL-RS measurement shall also include Rx beam sweeping time. Define the MAC-CE based TCI state switching delay as: </w:t>
      </w:r>
      <w:r w:rsidRPr="00E73CEF">
        <w:rPr>
          <w:b/>
          <w:iCs/>
          <w:sz w:val="20"/>
          <w:szCs w:val="20"/>
        </w:rPr>
        <w:t>T</w:t>
      </w:r>
      <w:r w:rsidRPr="00E73CEF">
        <w:rPr>
          <w:b/>
          <w:iCs/>
          <w:sz w:val="20"/>
          <w:szCs w:val="20"/>
          <w:vertAlign w:val="subscript"/>
        </w:rPr>
        <w:t>HARQ</w:t>
      </w:r>
      <w:r w:rsidRPr="00E73CEF">
        <w:rPr>
          <w:b/>
          <w:iCs/>
          <w:sz w:val="20"/>
          <w:szCs w:val="20"/>
        </w:rPr>
        <w:t xml:space="preserve"> + 3ms + NM</w:t>
      </w:r>
      <w:proofErr w:type="gramStart"/>
      <w:r w:rsidRPr="00E73CEF">
        <w:rPr>
          <w:b/>
          <w:iCs/>
          <w:sz w:val="20"/>
          <w:szCs w:val="20"/>
        </w:rPr>
        <w:t>*(</w:t>
      </w:r>
      <w:r w:rsidRPr="001B05EC">
        <w:rPr>
          <w:b/>
          <w:iCs/>
          <w:sz w:val="20"/>
          <w:szCs w:val="20"/>
        </w:rPr>
        <w:t xml:space="preserve"> </w:t>
      </w:r>
      <w:proofErr w:type="spellStart"/>
      <w:r w:rsidRPr="00E73CEF">
        <w:rPr>
          <w:b/>
          <w:iCs/>
          <w:sz w:val="20"/>
          <w:szCs w:val="20"/>
        </w:rPr>
        <w:t>T</w:t>
      </w:r>
      <w:r w:rsidRPr="00E73CEF">
        <w:rPr>
          <w:b/>
          <w:iCs/>
          <w:sz w:val="20"/>
          <w:szCs w:val="20"/>
          <w:vertAlign w:val="subscript"/>
        </w:rPr>
        <w:t>FirstSSB</w:t>
      </w:r>
      <w:proofErr w:type="spellEnd"/>
      <w:proofErr w:type="gramEnd"/>
      <w:r w:rsidRPr="00E73CEF">
        <w:rPr>
          <w:b/>
          <w:iCs/>
          <w:sz w:val="20"/>
          <w:szCs w:val="20"/>
        </w:rPr>
        <w:t xml:space="preserve"> </w:t>
      </w:r>
      <w:r w:rsidRPr="001B05EC">
        <w:rPr>
          <w:b/>
          <w:iCs/>
          <w:sz w:val="20"/>
          <w:szCs w:val="20"/>
        </w:rPr>
        <w:t xml:space="preserve"> + 39*</w:t>
      </w:r>
      <w:r w:rsidRPr="00E73CEF">
        <w:rPr>
          <w:b/>
          <w:iCs/>
          <w:sz w:val="20"/>
          <w:szCs w:val="20"/>
        </w:rPr>
        <w:t>T</w:t>
      </w:r>
      <w:r w:rsidRPr="00E73CEF">
        <w:rPr>
          <w:b/>
          <w:iCs/>
          <w:sz w:val="20"/>
          <w:szCs w:val="20"/>
          <w:vertAlign w:val="subscript"/>
        </w:rPr>
        <w:t>SSB</w:t>
      </w:r>
      <w:r w:rsidRPr="00E73CEF">
        <w:rPr>
          <w:b/>
          <w:iCs/>
          <w:sz w:val="20"/>
          <w:szCs w:val="20"/>
        </w:rPr>
        <w:t xml:space="preserve"> + 2ms)</w:t>
      </w:r>
    </w:p>
    <w:p w14:paraId="3D28E13C" w14:textId="77777777" w:rsidR="001B05EC" w:rsidRPr="001B05EC" w:rsidRDefault="001B05EC" w:rsidP="001B05EC">
      <w:pPr>
        <w:spacing w:after="120"/>
        <w:rPr>
          <w:i/>
          <w:iCs/>
          <w:sz w:val="20"/>
          <w:szCs w:val="20"/>
          <w:lang w:val="en-GB"/>
        </w:rPr>
      </w:pPr>
      <w:r w:rsidRPr="001B05EC">
        <w:rPr>
          <w:b/>
          <w:bCs/>
          <w:i/>
          <w:iCs/>
          <w:sz w:val="20"/>
          <w:szCs w:val="20"/>
          <w:lang w:val="en-GB"/>
        </w:rPr>
        <w:t xml:space="preserve">Observation#1: </w:t>
      </w:r>
      <w:r w:rsidRPr="001B05EC">
        <w:rPr>
          <w:i/>
          <w:iCs/>
          <w:sz w:val="20"/>
          <w:szCs w:val="20"/>
          <w:lang w:val="en-GB"/>
        </w:rPr>
        <w:t xml:space="preserve">After the TCI is activated in UL (or DL) TCI state list, the UE can receive DCI with TCI indication for the activate TCI state. </w:t>
      </w:r>
    </w:p>
    <w:p w14:paraId="6455A2A5" w14:textId="2CCCF03C" w:rsidR="001B05EC" w:rsidRDefault="001B05EC" w:rsidP="001B05EC">
      <w:pPr>
        <w:spacing w:after="120"/>
        <w:rPr>
          <w:b/>
          <w:bCs/>
          <w:sz w:val="20"/>
          <w:szCs w:val="20"/>
          <w:lang w:val="en-GB"/>
        </w:rPr>
      </w:pPr>
      <w:r w:rsidRPr="001B05EC">
        <w:rPr>
          <w:b/>
          <w:bCs/>
          <w:sz w:val="20"/>
          <w:szCs w:val="20"/>
          <w:lang w:val="en-GB"/>
        </w:rPr>
        <w:t>Proposal #3: The active TCI state list update delay specifies the time for UE to be able to receive DCI</w:t>
      </w:r>
      <w:r w:rsidRPr="001B05EC">
        <w:rPr>
          <w:i/>
          <w:iCs/>
          <w:sz w:val="20"/>
          <w:szCs w:val="20"/>
          <w:lang w:val="en-GB"/>
        </w:rPr>
        <w:t xml:space="preserve"> </w:t>
      </w:r>
      <w:r w:rsidRPr="001B05EC">
        <w:rPr>
          <w:b/>
          <w:bCs/>
          <w:sz w:val="20"/>
          <w:szCs w:val="20"/>
          <w:lang w:val="en-GB"/>
        </w:rPr>
        <w:t>for TCI indication.</w:t>
      </w:r>
    </w:p>
    <w:p w14:paraId="4D28E671" w14:textId="0E7AE9C3" w:rsidR="001B05EC" w:rsidRPr="001B05EC" w:rsidRDefault="001B05EC" w:rsidP="001B05EC">
      <w:pPr>
        <w:spacing w:after="120"/>
        <w:rPr>
          <w:b/>
          <w:bCs/>
          <w:sz w:val="20"/>
          <w:szCs w:val="20"/>
          <w:u w:val="single"/>
          <w:lang w:val="en-GB"/>
        </w:rPr>
      </w:pPr>
      <w:r>
        <w:rPr>
          <w:b/>
          <w:bCs/>
          <w:sz w:val="20"/>
          <w:szCs w:val="20"/>
          <w:u w:val="single"/>
          <w:lang w:val="en-GB"/>
        </w:rPr>
        <w:t>Common TCI Indication</w:t>
      </w:r>
    </w:p>
    <w:p w14:paraId="444D8AB4" w14:textId="77777777" w:rsidR="001B05EC" w:rsidRPr="001B05EC" w:rsidRDefault="001B05EC" w:rsidP="001B05EC">
      <w:pPr>
        <w:spacing w:after="120"/>
        <w:rPr>
          <w:rFonts w:eastAsia="SimSun"/>
          <w:i/>
          <w:iCs/>
          <w:sz w:val="20"/>
          <w:szCs w:val="20"/>
          <w:lang w:val="en-GB" w:eastAsia="en-GB"/>
        </w:rPr>
      </w:pPr>
      <w:r w:rsidRPr="001B05EC">
        <w:rPr>
          <w:rFonts w:eastAsia="SimSun"/>
          <w:b/>
          <w:bCs/>
          <w:i/>
          <w:iCs/>
          <w:sz w:val="20"/>
          <w:szCs w:val="20"/>
          <w:lang w:val="en-GB" w:eastAsia="en-GB"/>
        </w:rPr>
        <w:t xml:space="preserve">Observation #2: </w:t>
      </w:r>
      <w:r w:rsidRPr="001B05EC">
        <w:rPr>
          <w:rFonts w:eastAsia="SimSun"/>
          <w:i/>
          <w:iCs/>
          <w:sz w:val="20"/>
          <w:szCs w:val="20"/>
          <w:lang w:val="en-GB" w:eastAsia="en-GB"/>
        </w:rPr>
        <w:t>If the</w:t>
      </w:r>
      <w:r w:rsidRPr="001B05EC">
        <w:rPr>
          <w:sz w:val="20"/>
          <w:szCs w:val="20"/>
        </w:rPr>
        <w:t xml:space="preserve"> </w:t>
      </w:r>
      <w:r w:rsidRPr="001B05EC">
        <w:rPr>
          <w:rFonts w:eastAsia="SimSun"/>
          <w:i/>
          <w:iCs/>
          <w:sz w:val="20"/>
          <w:szCs w:val="20"/>
          <w:lang w:val="en-GB" w:eastAsia="en-GB"/>
        </w:rPr>
        <w:t xml:space="preserve">TCI states associated with common TCI ID are different </w:t>
      </w:r>
      <w:proofErr w:type="gramStart"/>
      <w:r w:rsidRPr="001B05EC">
        <w:rPr>
          <w:rFonts w:eastAsia="SimSun"/>
          <w:i/>
          <w:iCs/>
          <w:sz w:val="20"/>
          <w:szCs w:val="20"/>
          <w:lang w:val="en-GB" w:eastAsia="en-GB"/>
        </w:rPr>
        <w:t>RS</w:t>
      </w:r>
      <w:proofErr w:type="gramEnd"/>
      <w:r w:rsidRPr="001B05EC">
        <w:rPr>
          <w:rFonts w:eastAsia="SimSun"/>
          <w:i/>
          <w:iCs/>
          <w:sz w:val="20"/>
          <w:szCs w:val="20"/>
          <w:lang w:val="en-GB" w:eastAsia="en-GB"/>
        </w:rPr>
        <w:t xml:space="preserve"> then the switching delay would apply for each CC separately. </w:t>
      </w:r>
    </w:p>
    <w:p w14:paraId="6DCEF168" w14:textId="77777777" w:rsidR="001B05EC" w:rsidRPr="001B05EC" w:rsidRDefault="001B05EC" w:rsidP="001B05EC">
      <w:pPr>
        <w:spacing w:after="120"/>
        <w:rPr>
          <w:rFonts w:eastAsia="SimSun"/>
          <w:i/>
          <w:iCs/>
          <w:sz w:val="20"/>
          <w:szCs w:val="20"/>
          <w:lang w:val="en-GB" w:eastAsia="en-GB"/>
        </w:rPr>
      </w:pPr>
      <w:r w:rsidRPr="001B05EC">
        <w:rPr>
          <w:rFonts w:eastAsia="SimSun"/>
          <w:b/>
          <w:bCs/>
          <w:i/>
          <w:iCs/>
          <w:sz w:val="20"/>
          <w:szCs w:val="20"/>
          <w:lang w:val="en-GB" w:eastAsia="en-GB"/>
        </w:rPr>
        <w:t xml:space="preserve">Observation #3: </w:t>
      </w:r>
      <w:r w:rsidRPr="001B05EC">
        <w:rPr>
          <w:rFonts w:eastAsia="SimSun"/>
          <w:i/>
          <w:iCs/>
          <w:sz w:val="20"/>
          <w:szCs w:val="20"/>
          <w:lang w:val="en-GB" w:eastAsia="en-GB"/>
        </w:rPr>
        <w:t>If the</w:t>
      </w:r>
      <w:r w:rsidRPr="001B05EC">
        <w:rPr>
          <w:sz w:val="20"/>
          <w:szCs w:val="20"/>
        </w:rPr>
        <w:t xml:space="preserve"> </w:t>
      </w:r>
      <w:r w:rsidRPr="001B05EC">
        <w:rPr>
          <w:rFonts w:eastAsia="SimSun"/>
          <w:i/>
          <w:iCs/>
          <w:sz w:val="20"/>
          <w:szCs w:val="20"/>
          <w:lang w:val="en-GB" w:eastAsia="en-GB"/>
        </w:rPr>
        <w:t xml:space="preserve">TCI states associated with common TCI ID are the same or shared RS then a common switching delay can be defined. </w:t>
      </w:r>
    </w:p>
    <w:p w14:paraId="371010B4" w14:textId="77777777" w:rsidR="001B05EC" w:rsidRPr="001B05EC" w:rsidRDefault="001B05EC" w:rsidP="001B05EC">
      <w:pPr>
        <w:spacing w:after="120"/>
        <w:rPr>
          <w:rFonts w:eastAsia="SimSun"/>
          <w:b/>
          <w:sz w:val="20"/>
          <w:szCs w:val="20"/>
          <w:lang w:val="en-GB" w:eastAsia="en-GB"/>
        </w:rPr>
      </w:pPr>
      <w:r w:rsidRPr="001B05EC">
        <w:rPr>
          <w:rFonts w:eastAsia="SimSun"/>
          <w:b/>
          <w:sz w:val="20"/>
          <w:szCs w:val="20"/>
          <w:lang w:val="en-GB" w:eastAsia="en-GB"/>
        </w:rPr>
        <w:t>Proposal #4: Define requirements for common RS case only – when the target TCI state ID is associated with the same RS for all CCs</w:t>
      </w:r>
    </w:p>
    <w:p w14:paraId="7E5D8ED8" w14:textId="77777777" w:rsidR="001B05EC" w:rsidRPr="001B05EC" w:rsidRDefault="001B05EC" w:rsidP="001B05EC">
      <w:pPr>
        <w:spacing w:after="120"/>
        <w:rPr>
          <w:rFonts w:eastAsia="SimSun"/>
          <w:b/>
          <w:bCs/>
          <w:sz w:val="20"/>
          <w:szCs w:val="20"/>
          <w:lang w:val="en-GB" w:eastAsia="en-GB"/>
        </w:rPr>
      </w:pPr>
      <w:r w:rsidRPr="001B05EC">
        <w:rPr>
          <w:rFonts w:eastAsia="SimSun"/>
          <w:b/>
          <w:bCs/>
          <w:sz w:val="20"/>
          <w:szCs w:val="20"/>
          <w:lang w:val="en-GB" w:eastAsia="en-GB"/>
        </w:rPr>
        <w:t>Proposal #5: Delete the wording in “</w:t>
      </w:r>
      <w:proofErr w:type="gramStart"/>
      <w:r w:rsidRPr="001B05EC">
        <w:rPr>
          <w:rFonts w:eastAsia="SimSun"/>
          <w:b/>
          <w:bCs/>
          <w:sz w:val="20"/>
          <w:szCs w:val="20"/>
          <w:lang w:val="en-GB" w:eastAsia="en-GB"/>
        </w:rPr>
        <w:t>[ ]</w:t>
      </w:r>
      <w:proofErr w:type="gramEnd"/>
      <w:r w:rsidRPr="001B05EC">
        <w:rPr>
          <w:rFonts w:eastAsia="SimSun"/>
          <w:b/>
          <w:bCs/>
          <w:sz w:val="20"/>
          <w:szCs w:val="20"/>
          <w:lang w:val="en-GB" w:eastAsia="en-GB"/>
        </w:rPr>
        <w:t xml:space="preserve">”:  </w:t>
      </w:r>
      <w:r w:rsidRPr="001B05EC">
        <w:rPr>
          <w:b/>
          <w:bCs/>
          <w:sz w:val="20"/>
          <w:szCs w:val="20"/>
        </w:rPr>
        <w:t xml:space="preserve">[all CCs </w:t>
      </w:r>
      <w:r w:rsidRPr="001B05EC">
        <w:rPr>
          <w:b/>
          <w:bCs/>
          <w:color w:val="FF0000"/>
          <w:sz w:val="20"/>
          <w:szCs w:val="20"/>
        </w:rPr>
        <w:t>with a common indicated TCI-State</w:t>
      </w:r>
      <w:r w:rsidRPr="001B05EC">
        <w:rPr>
          <w:b/>
          <w:bCs/>
          <w:sz w:val="20"/>
          <w:szCs w:val="20"/>
        </w:rPr>
        <w:t xml:space="preserve"> in the same CC list configured by </w:t>
      </w:r>
      <w:r w:rsidRPr="001B05EC">
        <w:rPr>
          <w:b/>
          <w:bCs/>
          <w:i/>
          <w:iCs/>
          <w:sz w:val="20"/>
          <w:szCs w:val="20"/>
        </w:rPr>
        <w:t xml:space="preserve">simultaneousTCI-UpdateList1 or simultaneousTCI-UpdateList2] </w:t>
      </w:r>
      <w:r w:rsidRPr="001B05EC">
        <w:rPr>
          <w:rFonts w:eastAsia="SimSun"/>
          <w:b/>
          <w:bCs/>
          <w:sz w:val="20"/>
          <w:szCs w:val="20"/>
          <w:lang w:val="en-GB" w:eastAsia="en-GB"/>
        </w:rPr>
        <w:t xml:space="preserve"> for DCI based downlink TCI state switch delay</w:t>
      </w:r>
    </w:p>
    <w:p w14:paraId="663E0348" w14:textId="77777777" w:rsidR="001B05EC" w:rsidRPr="001B05EC" w:rsidRDefault="001B05EC" w:rsidP="001B05EC">
      <w:pPr>
        <w:spacing w:after="120"/>
        <w:rPr>
          <w:rFonts w:eastAsia="SimSun"/>
          <w:b/>
          <w:bCs/>
          <w:sz w:val="20"/>
          <w:szCs w:val="20"/>
          <w:lang w:val="en-GB" w:eastAsia="en-GB"/>
        </w:rPr>
      </w:pPr>
      <w:r w:rsidRPr="001B05EC">
        <w:rPr>
          <w:rFonts w:eastAsia="SimSun"/>
          <w:b/>
          <w:bCs/>
          <w:sz w:val="20"/>
          <w:szCs w:val="20"/>
          <w:lang w:val="en-GB" w:eastAsia="en-GB"/>
        </w:rPr>
        <w:t xml:space="preserve">Proposal #6: Further discuss how to capture common TCI switch with common RS if necessary. </w:t>
      </w:r>
    </w:p>
    <w:p w14:paraId="571E5FF1" w14:textId="2039AF0B" w:rsidR="009F52D7" w:rsidRPr="001B05EC"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1AE93C92" w:rsidR="00C94AC7" w:rsidRPr="00900F20" w:rsidRDefault="00900F20" w:rsidP="00C94AC7">
      <w:pPr>
        <w:pStyle w:val="ListParagraph"/>
        <w:numPr>
          <w:ilvl w:val="0"/>
          <w:numId w:val="2"/>
        </w:numPr>
        <w:spacing w:after="120"/>
        <w:ind w:firstLineChars="0"/>
        <w:jc w:val="both"/>
        <w:rPr>
          <w:rFonts w:ascii="Times New Roman" w:hAnsi="Times New Roman" w:cs="Times New Roman"/>
          <w:sz w:val="20"/>
          <w:szCs w:val="20"/>
        </w:rPr>
      </w:pPr>
      <w:r w:rsidRPr="00900F20">
        <w:rPr>
          <w:rFonts w:ascii="Times New Roman" w:hAnsi="Times New Roman" w:cs="Times New Roman"/>
          <w:sz w:val="20"/>
          <w:szCs w:val="20"/>
          <w:lang w:val="en-GB"/>
        </w:rPr>
        <w:t>R4-2206943</w:t>
      </w:r>
      <w:r w:rsidR="00C94AC7" w:rsidRPr="00900F20">
        <w:rPr>
          <w:rFonts w:ascii="Times New Roman" w:hAnsi="Times New Roman" w:cs="Times New Roman"/>
          <w:sz w:val="20"/>
          <w:szCs w:val="20"/>
        </w:rPr>
        <w:t>, “</w:t>
      </w:r>
      <w:r w:rsidRPr="00900F20">
        <w:rPr>
          <w:rFonts w:ascii="Times New Roman" w:hAnsi="Times New Roman" w:cs="Times New Roman"/>
          <w:sz w:val="20"/>
          <w:szCs w:val="20"/>
        </w:rPr>
        <w:t xml:space="preserve">WF on </w:t>
      </w:r>
      <w:proofErr w:type="spellStart"/>
      <w:r w:rsidRPr="00900F20">
        <w:rPr>
          <w:rFonts w:ascii="Times New Roman" w:hAnsi="Times New Roman" w:cs="Times New Roman"/>
          <w:sz w:val="20"/>
          <w:szCs w:val="20"/>
        </w:rPr>
        <w:t>FeMIMO</w:t>
      </w:r>
      <w:proofErr w:type="spellEnd"/>
      <w:r w:rsidRPr="00900F20">
        <w:rPr>
          <w:rFonts w:ascii="Times New Roman" w:hAnsi="Times New Roman" w:cs="Times New Roman"/>
          <w:sz w:val="20"/>
          <w:szCs w:val="20"/>
        </w:rPr>
        <w:t xml:space="preserve"> RRM impact for unified TCI state</w:t>
      </w:r>
      <w:r w:rsidR="00C94AC7" w:rsidRPr="00900F20">
        <w:rPr>
          <w:rFonts w:ascii="Times New Roman" w:hAnsi="Times New Roman" w:cs="Times New Roman"/>
          <w:sz w:val="20"/>
          <w:szCs w:val="20"/>
        </w:rPr>
        <w:t xml:space="preserve">”, </w:t>
      </w:r>
      <w:r w:rsidRPr="00900F20">
        <w:rPr>
          <w:rFonts w:ascii="Times New Roman" w:hAnsi="Times New Roman" w:cs="Times New Roman"/>
          <w:sz w:val="20"/>
          <w:szCs w:val="20"/>
        </w:rPr>
        <w:t>Intel</w:t>
      </w:r>
      <w:r w:rsidR="00C94AC7" w:rsidRPr="00900F20">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4664E44"/>
    <w:multiLevelType w:val="hybridMultilevel"/>
    <w:tmpl w:val="77A4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 w15:restartNumberingAfterBreak="0">
    <w:nsid w:val="62756ED7"/>
    <w:multiLevelType w:val="hybridMultilevel"/>
    <w:tmpl w:val="EE944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
  </w:num>
  <w:num w:numId="2" w16cid:durableId="1198423226">
    <w:abstractNumId w:val="5"/>
  </w:num>
  <w:num w:numId="3" w16cid:durableId="1871456649">
    <w:abstractNumId w:val="6"/>
  </w:num>
  <w:num w:numId="4" w16cid:durableId="1158231064">
    <w:abstractNumId w:val="4"/>
  </w:num>
  <w:num w:numId="5" w16cid:durableId="1788499240">
    <w:abstractNumId w:val="0"/>
  </w:num>
  <w:num w:numId="6" w16cid:durableId="949170584">
    <w:abstractNumId w:val="7"/>
  </w:num>
  <w:num w:numId="7" w16cid:durableId="1625695131">
    <w:abstractNumId w:val="1"/>
  </w:num>
  <w:num w:numId="8" w16cid:durableId="619843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3E10"/>
    <w:rsid w:val="0003629C"/>
    <w:rsid w:val="000A6ED6"/>
    <w:rsid w:val="0011246B"/>
    <w:rsid w:val="00121828"/>
    <w:rsid w:val="00140D93"/>
    <w:rsid w:val="00143857"/>
    <w:rsid w:val="00177147"/>
    <w:rsid w:val="001B05EC"/>
    <w:rsid w:val="001B5D0A"/>
    <w:rsid w:val="001C663E"/>
    <w:rsid w:val="002106FF"/>
    <w:rsid w:val="0021305F"/>
    <w:rsid w:val="0028702C"/>
    <w:rsid w:val="002870EA"/>
    <w:rsid w:val="00297C6E"/>
    <w:rsid w:val="002A7624"/>
    <w:rsid w:val="002F189E"/>
    <w:rsid w:val="002F4FA3"/>
    <w:rsid w:val="003006DF"/>
    <w:rsid w:val="003610C2"/>
    <w:rsid w:val="003955A2"/>
    <w:rsid w:val="003B1001"/>
    <w:rsid w:val="003D356B"/>
    <w:rsid w:val="004053CE"/>
    <w:rsid w:val="004338CB"/>
    <w:rsid w:val="00437C06"/>
    <w:rsid w:val="004C18BC"/>
    <w:rsid w:val="004D1584"/>
    <w:rsid w:val="004D2EA0"/>
    <w:rsid w:val="004D2FAA"/>
    <w:rsid w:val="00501367"/>
    <w:rsid w:val="00560126"/>
    <w:rsid w:val="0056633E"/>
    <w:rsid w:val="0057184D"/>
    <w:rsid w:val="005B410D"/>
    <w:rsid w:val="005D1B1F"/>
    <w:rsid w:val="00626BDE"/>
    <w:rsid w:val="00665623"/>
    <w:rsid w:val="00683E66"/>
    <w:rsid w:val="006F6951"/>
    <w:rsid w:val="007256F1"/>
    <w:rsid w:val="007612F3"/>
    <w:rsid w:val="007635A9"/>
    <w:rsid w:val="00766F00"/>
    <w:rsid w:val="00775238"/>
    <w:rsid w:val="007A3BE1"/>
    <w:rsid w:val="007A4398"/>
    <w:rsid w:val="007C626C"/>
    <w:rsid w:val="007C7AE6"/>
    <w:rsid w:val="007D071E"/>
    <w:rsid w:val="007E6406"/>
    <w:rsid w:val="00851F76"/>
    <w:rsid w:val="008758D9"/>
    <w:rsid w:val="00882B75"/>
    <w:rsid w:val="008B54BF"/>
    <w:rsid w:val="008C02CB"/>
    <w:rsid w:val="008E2F20"/>
    <w:rsid w:val="00900F20"/>
    <w:rsid w:val="00924CB2"/>
    <w:rsid w:val="00932C93"/>
    <w:rsid w:val="00936FFD"/>
    <w:rsid w:val="00951300"/>
    <w:rsid w:val="00970536"/>
    <w:rsid w:val="00971E22"/>
    <w:rsid w:val="00974AD0"/>
    <w:rsid w:val="009A2B46"/>
    <w:rsid w:val="009B34D4"/>
    <w:rsid w:val="009D0B4B"/>
    <w:rsid w:val="009D596C"/>
    <w:rsid w:val="009F52D7"/>
    <w:rsid w:val="00A211CC"/>
    <w:rsid w:val="00A470DD"/>
    <w:rsid w:val="00A859D3"/>
    <w:rsid w:val="00AB5027"/>
    <w:rsid w:val="00AD6271"/>
    <w:rsid w:val="00AF0FB4"/>
    <w:rsid w:val="00B5706E"/>
    <w:rsid w:val="00B749F7"/>
    <w:rsid w:val="00B8567C"/>
    <w:rsid w:val="00BA0B91"/>
    <w:rsid w:val="00C94AC7"/>
    <w:rsid w:val="00CD0F63"/>
    <w:rsid w:val="00D023C8"/>
    <w:rsid w:val="00DB6943"/>
    <w:rsid w:val="00DC19E0"/>
    <w:rsid w:val="00DC5D83"/>
    <w:rsid w:val="00DF1ED2"/>
    <w:rsid w:val="00DF7931"/>
    <w:rsid w:val="00E5586A"/>
    <w:rsid w:val="00E73CEF"/>
    <w:rsid w:val="00E9138B"/>
    <w:rsid w:val="00E9141B"/>
    <w:rsid w:val="00E94EC4"/>
    <w:rsid w:val="00F303BC"/>
    <w:rsid w:val="00F342CA"/>
    <w:rsid w:val="00F441E8"/>
    <w:rsid w:val="00FA6352"/>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B7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03629C"/>
    <w:pPr>
      <w:spacing w:after="180"/>
      <w:ind w:left="568" w:hanging="284"/>
      <w:jc w:val="left"/>
    </w:pPr>
    <w:rPr>
      <w:rFonts w:eastAsia="SimSun"/>
      <w:sz w:val="20"/>
      <w:szCs w:val="20"/>
      <w:lang w:val="en-GB"/>
    </w:rPr>
  </w:style>
  <w:style w:type="character" w:customStyle="1" w:styleId="B1Char">
    <w:name w:val="B1 Char"/>
    <w:link w:val="B1"/>
    <w:qFormat/>
    <w:rsid w:val="0003629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Pages>
  <Words>1341</Words>
  <Characters>7513</Characters>
  <Application>Microsoft Office Word</Application>
  <DocSecurity>0</DocSecurity>
  <Lines>939</Lines>
  <Paragraphs>442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6</cp:revision>
  <dcterms:created xsi:type="dcterms:W3CDTF">2022-04-23T18:41:00Z</dcterms:created>
  <dcterms:modified xsi:type="dcterms:W3CDTF">2022-04-25T22:09:00Z</dcterms:modified>
</cp:coreProperties>
</file>